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7225" w:type="dxa"/>
        <w:jc w:val="center"/>
        <w:tblLook w:val="04A0" w:firstRow="1" w:lastRow="0" w:firstColumn="1" w:lastColumn="0" w:noHBand="0" w:noVBand="1"/>
      </w:tblPr>
      <w:tblGrid>
        <w:gridCol w:w="3545"/>
        <w:gridCol w:w="3680"/>
      </w:tblGrid>
      <w:tr w:rsidR="00AF654C" w:rsidRPr="00B42FD1" w:rsidTr="00AF654C">
        <w:trPr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b/>
                <w:sz w:val="24"/>
                <w:szCs w:val="24"/>
              </w:rPr>
            </w:pPr>
            <w:r w:rsidRPr="00B42FD1">
              <w:rPr>
                <w:b/>
                <w:sz w:val="24"/>
                <w:szCs w:val="24"/>
              </w:rPr>
              <w:t xml:space="preserve">Üniversite </w:t>
            </w:r>
            <w:proofErr w:type="gramStart"/>
            <w:r w:rsidRPr="00B42FD1">
              <w:rPr>
                <w:b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3680" w:type="dxa"/>
          </w:tcPr>
          <w:p w:rsidR="00AF654C" w:rsidRPr="00B42FD1" w:rsidRDefault="00AF654C" w:rsidP="00B42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42FD1">
              <w:rPr>
                <w:b/>
                <w:bCs/>
                <w:sz w:val="24"/>
                <w:szCs w:val="24"/>
              </w:rPr>
              <w:t>Bölümü</w:t>
            </w:r>
          </w:p>
        </w:tc>
      </w:tr>
      <w:tr w:rsidR="00AF654C" w:rsidRPr="00B42FD1" w:rsidTr="00AF654C">
        <w:trPr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Marmara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AF654C">
        <w:trPr>
          <w:trHeight w:val="246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Osmangazi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AF654C">
        <w:trPr>
          <w:trHeight w:val="246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Anadolu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AF654C">
        <w:trPr>
          <w:trHeight w:val="246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Dokuz Eylül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AF654C">
        <w:trPr>
          <w:trHeight w:val="246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İstanbul Teknik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AF654C">
        <w:trPr>
          <w:trHeight w:val="246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Uludağ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AF654C">
        <w:trPr>
          <w:trHeight w:val="246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Kocaeli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  <w:tr w:rsidR="00AF654C" w:rsidRPr="00B42FD1" w:rsidTr="0040455D">
        <w:trPr>
          <w:trHeight w:val="205"/>
          <w:jc w:val="center"/>
        </w:trPr>
        <w:tc>
          <w:tcPr>
            <w:tcW w:w="3545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Pamukkale Üniversitesi</w:t>
            </w:r>
          </w:p>
        </w:tc>
        <w:tc>
          <w:tcPr>
            <w:tcW w:w="3680" w:type="dxa"/>
          </w:tcPr>
          <w:p w:rsidR="00AF654C" w:rsidRPr="00B42FD1" w:rsidRDefault="00AF654C" w:rsidP="00B42FD1">
            <w:pPr>
              <w:spacing w:after="0"/>
              <w:rPr>
                <w:sz w:val="24"/>
                <w:szCs w:val="24"/>
              </w:rPr>
            </w:pPr>
            <w:r w:rsidRPr="00B42FD1">
              <w:rPr>
                <w:sz w:val="24"/>
                <w:szCs w:val="24"/>
              </w:rPr>
              <w:t>Endüstri Müh. Bölümü</w:t>
            </w:r>
          </w:p>
        </w:tc>
      </w:tr>
    </w:tbl>
    <w:p w:rsidR="00B802CE" w:rsidRPr="00B42FD1" w:rsidRDefault="00B802CE" w:rsidP="00756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1687" w:rsidRPr="0043421A" w:rsidRDefault="00F72FCC" w:rsidP="00F72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Yukarıda </w:t>
      </w:r>
      <w:r w:rsidR="00E81687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201</w:t>
      </w:r>
      <w:r w:rsidR="008404C7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E81687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-201</w:t>
      </w:r>
      <w:r w:rsidR="00AF654C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E81687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Eğitim Öğretim yılında Yaz Öğretimi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olan Üniversitelere </w:t>
      </w:r>
      <w:r w:rsidR="0075604B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bölümümüz öğrencilerini gönder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ilmek</w:t>
      </w:r>
      <w:r w:rsidR="0075604B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üzere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hazırlanan tablo</w:t>
      </w:r>
      <w:r w:rsidR="00B802CE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5604B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Üniversiteler </w:t>
      </w:r>
      <w:r w:rsidR="0075604B" w:rsidRPr="0043421A">
        <w:rPr>
          <w:rFonts w:ascii="Times New Roman" w:hAnsi="Times New Roman" w:cs="Times New Roman"/>
          <w:sz w:val="20"/>
          <w:szCs w:val="20"/>
        </w:rPr>
        <w:t xml:space="preserve">Yüksek Öğretim Kurulu Toplantısı’nda alınan </w:t>
      </w:r>
      <w:r w:rsidR="0075604B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2547 Sayılı kanunun 2880 Sayılı </w:t>
      </w:r>
      <w:r w:rsidR="00B802CE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K</w:t>
      </w:r>
      <w:r w:rsidR="0075604B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anun’la değişik 7/c maddesi uyarın</w:t>
      </w:r>
      <w:r w:rsidR="00B802CE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ca</w:t>
      </w:r>
      <w:r w:rsidR="0075604B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“</w:t>
      </w:r>
      <w:r w:rsidR="00E81687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Öğrencinin ilgili yılda Üniversitenin programının taban puanından daha yüksek bir programa verildiği </w:t>
      </w:r>
      <w:r w:rsidR="00E81687" w:rsidRPr="0043421A">
        <w:rPr>
          <w:rFonts w:ascii="Times New Roman" w:hAnsi="Times New Roman" w:cs="Times New Roman"/>
          <w:sz w:val="20"/>
          <w:szCs w:val="20"/>
        </w:rPr>
        <w:t xml:space="preserve">Üniversiteden Yaz Öğretiminde alması durumunda </w:t>
      </w:r>
      <w:r w:rsidR="0075604B" w:rsidRPr="0043421A">
        <w:rPr>
          <w:rFonts w:ascii="Times New Roman" w:hAnsi="Times New Roman" w:cs="Times New Roman"/>
          <w:sz w:val="20"/>
          <w:szCs w:val="20"/>
        </w:rPr>
        <w:t xml:space="preserve">alınan bu derslerin Üniversite tarafından kabul edilmesine karar verilmiştir.” </w:t>
      </w:r>
      <w:r w:rsidRPr="0043421A">
        <w:rPr>
          <w:rFonts w:ascii="Times New Roman" w:hAnsi="Times New Roman" w:cs="Times New Roman"/>
          <w:sz w:val="20"/>
          <w:szCs w:val="20"/>
        </w:rPr>
        <w:t>hükmüne göre düzenlenmiştir.</w:t>
      </w:r>
      <w:proofErr w:type="gramEnd"/>
    </w:p>
    <w:p w:rsidR="00176CB0" w:rsidRPr="0043421A" w:rsidRDefault="00176CB0" w:rsidP="00176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57AB" w:rsidRPr="0043421A" w:rsidRDefault="001257AB" w:rsidP="00125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YAZ OKULUNDA DERS ALMAK İÇİN</w:t>
      </w:r>
    </w:p>
    <w:p w:rsidR="00CB1BBC" w:rsidRDefault="00FA7A5D" w:rsidP="00CD718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-201</w:t>
      </w:r>
      <w:r w:rsidR="008404C7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-201</w:t>
      </w:r>
      <w:r w:rsidR="008404C7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Eğitim Öğretim yılında Yaz Öğretiminde</w:t>
      </w:r>
      <w:r w:rsidR="00F72FCC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190E00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Bölümümüz Ders Planına göre</w:t>
      </w:r>
      <w:r w:rsidR="006F11F3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toplam</w:t>
      </w:r>
      <w:bookmarkStart w:id="0" w:name="_GoBack"/>
      <w:bookmarkEnd w:id="0"/>
      <w:r w:rsidR="00190E00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D7182" w:rsidRPr="00D5647E">
        <w:rPr>
          <w:rFonts w:ascii="Times New Roman" w:hAnsi="Times New Roman" w:cs="Times New Roman"/>
          <w:b/>
        </w:rPr>
        <w:t xml:space="preserve">en fazla on (10) </w:t>
      </w:r>
      <w:r w:rsidR="00CD7182">
        <w:rPr>
          <w:rFonts w:ascii="Times New Roman" w:hAnsi="Times New Roman" w:cs="Times New Roman"/>
          <w:b/>
        </w:rPr>
        <w:t xml:space="preserve">birim saatlik ders veya 3 </w:t>
      </w:r>
      <w:r w:rsidR="00F72FCC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de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rs alabilirler</w:t>
      </w:r>
      <w:r w:rsidR="00CB1BBC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CB1BBC"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(taban puanı yüksek bir üniversiteye ait yaz okulu olsa dahi, öğrencinin almak istediği derslerin onaylı ders içeriklerini getirerek bu yolu izlemesi gerekir)</w:t>
      </w:r>
    </w:p>
    <w:p w:rsidR="00CD7182" w:rsidRPr="0043421A" w:rsidRDefault="00CD7182" w:rsidP="00CD7182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A7A5D" w:rsidRPr="0043421A" w:rsidRDefault="00AD13A9" w:rsidP="00B42FD1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2-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Bölümü</w:t>
      </w:r>
      <w:r w:rsidR="00CE4E61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müzü</w:t>
      </w:r>
      <w:r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n temel dersleri tabloda belirtilen Üniversitelerin sadece Endüstri Mühendisliği Bölümlerinde alabilirler</w:t>
      </w:r>
      <w:r w:rsidR="00CE4E61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B42FD1" w:rsidRPr="0043421A" w:rsidRDefault="00CB1BBC" w:rsidP="00B42FD1">
      <w:pPr>
        <w:spacing w:before="2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</w:t>
      </w:r>
      <w:r w:rsidR="004423C8"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-</w:t>
      </w:r>
      <w:r w:rsidR="004423C8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Fizik, Kimya Matematik ve Üniversitemizin Ortak Zorunlu derslerini </w:t>
      </w:r>
      <w:r w:rsidR="003D1B92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(Türk Dili, Atatürk İlkeleri ve İnkılâp Tarihi ve İngilizce) </w:t>
      </w:r>
      <w:r w:rsidR="004423C8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yine taban puan şartına göre herhangi bir Mühendislik Fakültesi Bölümleri veya Fen Edebiyat Fakültesi Bölümlerinde</w:t>
      </w:r>
      <w:r w:rsidR="0025622D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>n</w:t>
      </w:r>
      <w:r w:rsidR="00B42FD1" w:rsidRPr="0043421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alabilirler</w:t>
      </w:r>
    </w:p>
    <w:p w:rsidR="00B42FD1" w:rsidRPr="0043421A" w:rsidRDefault="00B42FD1" w:rsidP="00B42FD1">
      <w:pPr>
        <w:spacing w:before="2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421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4)</w:t>
      </w:r>
      <w:r w:rsidRPr="0043421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Derslerin intibakının yapılabilmesi için ders içeriklerinin Sakarya Üniversitesi ders içerikleri ile %70 oranında uyumlu olması gerekmektedir. </w:t>
      </w:r>
    </w:p>
    <w:p w:rsidR="00B42FD1" w:rsidRPr="0043421A" w:rsidRDefault="00B42FD1" w:rsidP="00B42FD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3421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5)</w:t>
      </w:r>
      <w:r w:rsidRPr="0043421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Üstten ders almak isteyenler üstten ders alma şartlarını sağlayabiliyorlarsa alabilirler. Üstten ders alabilmeleri için alttan hiçbir dersin kalmaması ve not ortalamasının 3.00'ın üzerinde olması gerekmektedir. </w:t>
      </w:r>
    </w:p>
    <w:p w:rsidR="006666BB" w:rsidRDefault="00B42FD1" w:rsidP="00B42FD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</w:rPr>
      </w:pPr>
      <w:r w:rsidRPr="0043421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6)</w:t>
      </w:r>
      <w:r w:rsidRPr="0043421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Birden fazla üniversiteden ders alabilirsiniz. Birden fazla üniversiteden alacağınız derslerin toplam saati benzer şekilde </w:t>
      </w:r>
      <w:r w:rsidR="006666BB" w:rsidRPr="00D5647E">
        <w:rPr>
          <w:rFonts w:ascii="Times New Roman" w:hAnsi="Times New Roman" w:cs="Times New Roman"/>
          <w:b/>
        </w:rPr>
        <w:t>en fazla on (10) birim saatlik ders veya 3 dersi geçemez</w:t>
      </w:r>
      <w:r w:rsidR="00CD7182">
        <w:rPr>
          <w:rFonts w:ascii="Times New Roman" w:hAnsi="Times New Roman" w:cs="Times New Roman"/>
          <w:b/>
        </w:rPr>
        <w:t>.</w:t>
      </w:r>
    </w:p>
    <w:tbl>
      <w:tblPr>
        <w:tblW w:w="105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9"/>
      </w:tblGrid>
      <w:tr w:rsidR="00CD7182" w:rsidTr="00CD7182">
        <w:trPr>
          <w:trHeight w:val="277"/>
        </w:trPr>
        <w:tc>
          <w:tcPr>
            <w:tcW w:w="10589" w:type="dxa"/>
          </w:tcPr>
          <w:p w:rsidR="0040455D" w:rsidRDefault="0040455D"/>
          <w:tbl>
            <w:tblPr>
              <w:tblW w:w="105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89"/>
            </w:tblGrid>
            <w:tr w:rsidR="005C4747" w:rsidRPr="005C4747" w:rsidTr="005C4747">
              <w:trPr>
                <w:trHeight w:val="274"/>
              </w:trPr>
              <w:tc>
                <w:tcPr>
                  <w:tcW w:w="10589" w:type="dxa"/>
                </w:tcPr>
                <w:p w:rsidR="005C4747" w:rsidRPr="005C4747" w:rsidRDefault="00AF654C" w:rsidP="0040455D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C4747">
                    <w:rPr>
                      <w:rFonts w:eastAsia="Times New Roman"/>
                      <w:b/>
                      <w:sz w:val="20"/>
                      <w:szCs w:val="20"/>
                      <w:lang w:eastAsia="tr-TR"/>
                    </w:rPr>
                    <w:t>7)</w:t>
                  </w:r>
                  <w:r w:rsidRPr="005C4747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 xml:space="preserve"> Bölümümüzde Yaz okulunda açılan ders</w:t>
                  </w:r>
                  <w:r w:rsidR="0040455D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leri</w:t>
                  </w:r>
                  <w:r w:rsidRPr="005C4747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CD7182" w:rsidRPr="005C4747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seçmek için</w:t>
                  </w:r>
                  <w:r w:rsidR="000C6D0E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>,</w:t>
                  </w:r>
                  <w:r w:rsidR="00CD7182" w:rsidRPr="005C4747">
                    <w:rPr>
                      <w:rFonts w:eastAsia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CD7182" w:rsidRPr="005C4747">
                    <w:rPr>
                      <w:iCs/>
                      <w:sz w:val="20"/>
                      <w:szCs w:val="20"/>
                    </w:rPr>
                    <w:t>almak istediğiniz ders saatine göre tablodaki tutarı Garanti Bankası şubelerine TC numaranız</w:t>
                  </w:r>
                  <w:r w:rsidR="005C4747" w:rsidRPr="005C4747">
                    <w:rPr>
                      <w:iCs/>
                      <w:sz w:val="20"/>
                      <w:szCs w:val="20"/>
                    </w:rPr>
                    <w:t xml:space="preserve"> ile yatırarak</w:t>
                  </w:r>
                  <w:r w:rsidR="005C4747"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="005C4747" w:rsidRPr="005C4747">
                    <w:rPr>
                      <w:iCs/>
                      <w:sz w:val="20"/>
                      <w:szCs w:val="20"/>
                    </w:rPr>
                    <w:t xml:space="preserve">13-14 Haziran 2016 tarihlerinde </w:t>
                  </w:r>
                  <w:r w:rsidR="005C4747" w:rsidRPr="005C4747">
                    <w:rPr>
                      <w:color w:val="4472C4" w:themeColor="accent5"/>
                      <w:sz w:val="20"/>
                      <w:szCs w:val="20"/>
                    </w:rPr>
                    <w:t>ogr.sakarya.edu.tr/tr</w:t>
                  </w:r>
                  <w:r w:rsidR="005C4747" w:rsidRPr="005C4747">
                    <w:rPr>
                      <w:sz w:val="20"/>
                      <w:szCs w:val="20"/>
                    </w:rPr>
                    <w:t xml:space="preserve"> </w:t>
                  </w:r>
                  <w:r w:rsidR="005C4747" w:rsidRPr="005C4747">
                    <w:rPr>
                      <w:iCs/>
                      <w:sz w:val="20"/>
                      <w:szCs w:val="20"/>
                    </w:rPr>
                    <w:t xml:space="preserve">adresinden SAÜ Yaz Öğretimi Esaslarına göre </w:t>
                  </w:r>
                  <w:r w:rsidR="0040455D">
                    <w:rPr>
                      <w:iCs/>
                      <w:sz w:val="20"/>
                      <w:szCs w:val="20"/>
                    </w:rPr>
                    <w:t>“</w:t>
                  </w:r>
                  <w:proofErr w:type="spellStart"/>
                  <w:r w:rsidR="0040455D">
                    <w:rPr>
                      <w:iCs/>
                      <w:sz w:val="20"/>
                      <w:szCs w:val="20"/>
                    </w:rPr>
                    <w:t>Sabis</w:t>
                  </w:r>
                  <w:proofErr w:type="spellEnd"/>
                  <w:r w:rsidR="0040455D">
                    <w:rPr>
                      <w:iCs/>
                      <w:sz w:val="20"/>
                      <w:szCs w:val="20"/>
                    </w:rPr>
                    <w:t>”</w:t>
                  </w:r>
                  <w:r w:rsidR="009D6A76"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="0040455D">
                    <w:rPr>
                      <w:iCs/>
                      <w:sz w:val="20"/>
                      <w:szCs w:val="20"/>
                    </w:rPr>
                    <w:t>üzerinden de</w:t>
                  </w:r>
                  <w:r w:rsidR="000C6D0E">
                    <w:rPr>
                      <w:iCs/>
                      <w:sz w:val="20"/>
                      <w:szCs w:val="20"/>
                    </w:rPr>
                    <w:t>rs seçiminizi yapabilirsiniz</w:t>
                  </w:r>
                  <w:r w:rsidR="005C4747" w:rsidRPr="005C4747">
                    <w:rPr>
                      <w:iCs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CD7182" w:rsidRPr="00CD7182" w:rsidRDefault="00CD7182">
            <w:pPr>
              <w:pStyle w:val="Default"/>
              <w:jc w:val="both"/>
              <w:rPr>
                <w:sz w:val="20"/>
                <w:szCs w:val="20"/>
              </w:rPr>
            </w:pPr>
            <w:r w:rsidRPr="00CD7182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CD7182" w:rsidRDefault="005C4747" w:rsidP="00CD71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C47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="00CD7182" w:rsidRPr="005C474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)</w:t>
      </w:r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Yaz okulunda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Üniversitemizin başka bölümlerinde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veya başka Üniversitelerin Yaz Okullarında ders almak isteyen </w:t>
      </w:r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öğrencilerin “</w:t>
      </w:r>
      <w:hyperlink r:id="rId5" w:history="1">
        <w:r w:rsidR="00CD7182" w:rsidRPr="007D2A09">
          <w:rPr>
            <w:rStyle w:val="Kpr"/>
            <w:rFonts w:ascii="Times New Roman" w:eastAsia="Times New Roman" w:hAnsi="Times New Roman" w:cs="Times New Roman"/>
            <w:sz w:val="20"/>
            <w:szCs w:val="20"/>
            <w:lang w:eastAsia="tr-TR"/>
          </w:rPr>
          <w:t>http://www.ie.sakarya.edu.tr/tr</w:t>
        </w:r>
      </w:hyperlink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” Web adresin 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>“</w:t>
      </w:r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Yaz Okulu </w:t>
      </w:r>
      <w:proofErr w:type="spellStart"/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Dilekçesi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>”ni</w:t>
      </w:r>
      <w:proofErr w:type="spellEnd"/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alarak 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almak istedikleri 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>Üniversitemizin başka bölümleri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>nin veya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başka Üniversitelerin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“Onaylı ders içerikleri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” ile birlikte </w:t>
      </w:r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>bölüm</w:t>
      </w:r>
      <w:r w:rsidR="0040455D">
        <w:rPr>
          <w:rFonts w:ascii="Times New Roman" w:eastAsia="Times New Roman" w:hAnsi="Times New Roman" w:cs="Times New Roman"/>
          <w:sz w:val="20"/>
          <w:szCs w:val="20"/>
          <w:lang w:eastAsia="tr-TR"/>
        </w:rPr>
        <w:t>ümüze başvurabilirler</w:t>
      </w:r>
      <w:r w:rsidR="00CD7182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tbl>
      <w:tblPr>
        <w:tblW w:w="105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9"/>
      </w:tblGrid>
      <w:tr w:rsidR="00FA72EC" w:rsidRPr="00FA72EC" w:rsidTr="00FA72EC">
        <w:trPr>
          <w:trHeight w:val="401"/>
        </w:trPr>
        <w:tc>
          <w:tcPr>
            <w:tcW w:w="10589" w:type="dxa"/>
          </w:tcPr>
          <w:p w:rsidR="00FA72EC" w:rsidRDefault="00FA72EC" w:rsidP="00FA7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A72EC" w:rsidRDefault="00FA72EC" w:rsidP="00FA7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72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09)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A7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16 - 17 Haziran 2016 tarihlerinde </w:t>
            </w:r>
            <w:r w:rsidRPr="00FA72EC">
              <w:rPr>
                <w:rFonts w:ascii="Times New Roman" w:hAnsi="Times New Roman" w:cs="Times New Roman"/>
                <w:color w:val="4932D6"/>
                <w:sz w:val="20"/>
                <w:szCs w:val="20"/>
              </w:rPr>
              <w:t>ogr.sakarya.edu.tr/tr</w:t>
            </w:r>
            <w:r w:rsidRPr="00FA72EC"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</w:rPr>
              <w:t xml:space="preserve"> </w:t>
            </w:r>
            <w:r w:rsidRPr="00FA7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adresinden yazılma yapılabilir. Ancak daha önce yazılmış olduğunuz ve açılmış olan dersten çıkılamaz.</w:t>
            </w:r>
            <w:r w:rsidRPr="00FA72E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0455D" w:rsidRDefault="0040455D" w:rsidP="00FA7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0455D" w:rsidRPr="00FA72EC" w:rsidRDefault="0040455D" w:rsidP="00404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10) </w:t>
            </w:r>
            <w:r w:rsidRPr="004045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Yaz okulunda Üniversitemizin başka bölümlerinden veya başka Üniversitelerin Yaz Okullarında ders almak isteyen öğrencilerin</w:t>
            </w:r>
            <w:r w:rsidRPr="004045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almak der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s</w:t>
            </w:r>
            <w:r w:rsidRPr="004045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ler Bölümü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müz yaz okulunda açılmış olsa bile</w:t>
            </w:r>
            <w:r w:rsidRPr="004045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belirtikleri bölümlerden alabilirler.</w:t>
            </w:r>
          </w:p>
        </w:tc>
      </w:tr>
    </w:tbl>
    <w:p w:rsidR="006666BB" w:rsidRPr="0043421A" w:rsidRDefault="006666BB" w:rsidP="00B42FD1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3421A" w:rsidRDefault="0043421A" w:rsidP="00B42FD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proofErr w:type="gramStart"/>
      <w:r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NOT : Yaz</w:t>
      </w:r>
      <w:proofErr w:type="gramEnd"/>
      <w:r w:rsidRPr="0043421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Öğretiminde ders almak isteyen öğrencilerin tabloda belirtilen Üniversitelerin Onaylı Ders İçerikleri ile birlikte bölümümüz Web sayfasından Yaz Okulu dilekçesini alarak Bölüm Sekreterliğine başvurmaları gerekmektedir.</w:t>
      </w:r>
    </w:p>
    <w:p w:rsidR="00635952" w:rsidRDefault="00635952" w:rsidP="00B42FD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1257AB" w:rsidRDefault="00635952" w:rsidP="00B42FD1">
      <w:pPr>
        <w:shd w:val="clear" w:color="auto" w:fill="FFFFFF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1257AB" w:rsidRPr="00B42FD1">
        <w:rPr>
          <w:rFonts w:ascii="Times New Roman" w:eastAsia="Times New Roman" w:hAnsi="Times New Roman" w:cs="Times New Roman"/>
          <w:sz w:val="24"/>
          <w:szCs w:val="24"/>
          <w:lang w:eastAsia="tr-TR"/>
        </w:rPr>
        <w:t>Başarılar dileklerimle…</w:t>
      </w:r>
    </w:p>
    <w:p w:rsidR="001257AB" w:rsidRPr="00B42FD1" w:rsidRDefault="001257AB" w:rsidP="001257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2F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Prof. Dr. Cemalettin KUBAT</w:t>
      </w:r>
    </w:p>
    <w:p w:rsidR="00B42FD1" w:rsidRPr="00B42FD1" w:rsidRDefault="00635952" w:rsidP="00B42FD1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</w:t>
      </w:r>
      <w:r w:rsidR="001257AB" w:rsidRPr="00B42F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 Başkanı</w:t>
      </w:r>
    </w:p>
    <w:sectPr w:rsidR="00B42FD1" w:rsidRPr="00B42FD1" w:rsidSect="005C4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70AFC"/>
    <w:multiLevelType w:val="hybridMultilevel"/>
    <w:tmpl w:val="1ABE43B2"/>
    <w:lvl w:ilvl="0" w:tplc="79BA3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C2279"/>
    <w:multiLevelType w:val="hybridMultilevel"/>
    <w:tmpl w:val="CEB6A9B8"/>
    <w:lvl w:ilvl="0" w:tplc="BB065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E70C0"/>
    <w:multiLevelType w:val="hybridMultilevel"/>
    <w:tmpl w:val="07DCFA6A"/>
    <w:lvl w:ilvl="0" w:tplc="016CE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E4"/>
    <w:rsid w:val="000416A6"/>
    <w:rsid w:val="000B2A0B"/>
    <w:rsid w:val="000C6D0E"/>
    <w:rsid w:val="001257AB"/>
    <w:rsid w:val="00176CB0"/>
    <w:rsid w:val="00190E00"/>
    <w:rsid w:val="0025622D"/>
    <w:rsid w:val="00295461"/>
    <w:rsid w:val="0029711A"/>
    <w:rsid w:val="003D1B92"/>
    <w:rsid w:val="0040455D"/>
    <w:rsid w:val="0043421A"/>
    <w:rsid w:val="004423C8"/>
    <w:rsid w:val="004A02F6"/>
    <w:rsid w:val="00510D9B"/>
    <w:rsid w:val="00516829"/>
    <w:rsid w:val="00580CFD"/>
    <w:rsid w:val="005C4747"/>
    <w:rsid w:val="005C55F4"/>
    <w:rsid w:val="00635952"/>
    <w:rsid w:val="00652953"/>
    <w:rsid w:val="00653F81"/>
    <w:rsid w:val="006666BB"/>
    <w:rsid w:val="006D28B6"/>
    <w:rsid w:val="006E2835"/>
    <w:rsid w:val="006F11F3"/>
    <w:rsid w:val="0075604B"/>
    <w:rsid w:val="00793385"/>
    <w:rsid w:val="007C6204"/>
    <w:rsid w:val="00821BB1"/>
    <w:rsid w:val="008404C7"/>
    <w:rsid w:val="008C7FCC"/>
    <w:rsid w:val="0090653C"/>
    <w:rsid w:val="009D6A76"/>
    <w:rsid w:val="00A56340"/>
    <w:rsid w:val="00AC5A79"/>
    <w:rsid w:val="00AD13A9"/>
    <w:rsid w:val="00AD3CB3"/>
    <w:rsid w:val="00AF654C"/>
    <w:rsid w:val="00B05307"/>
    <w:rsid w:val="00B320BF"/>
    <w:rsid w:val="00B42FD1"/>
    <w:rsid w:val="00B802CE"/>
    <w:rsid w:val="00C329A1"/>
    <w:rsid w:val="00C4493B"/>
    <w:rsid w:val="00C8288E"/>
    <w:rsid w:val="00CB1BBC"/>
    <w:rsid w:val="00CD7182"/>
    <w:rsid w:val="00CE4E61"/>
    <w:rsid w:val="00D1189F"/>
    <w:rsid w:val="00D5647E"/>
    <w:rsid w:val="00E065E4"/>
    <w:rsid w:val="00E81687"/>
    <w:rsid w:val="00F67455"/>
    <w:rsid w:val="00F72FCC"/>
    <w:rsid w:val="00FA72EC"/>
    <w:rsid w:val="00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08BC-313B-4396-B4BD-0C66457B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5E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189F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D1189F"/>
  </w:style>
  <w:style w:type="paragraph" w:styleId="ListeParagraf">
    <w:name w:val="List Paragraph"/>
    <w:basedOn w:val="Normal"/>
    <w:uiPriority w:val="34"/>
    <w:qFormat/>
    <w:rsid w:val="004423C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2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7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D7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e.sakarya.edu.tr/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 gundağ</cp:lastModifiedBy>
  <cp:revision>13</cp:revision>
  <cp:lastPrinted>2015-06-05T13:09:00Z</cp:lastPrinted>
  <dcterms:created xsi:type="dcterms:W3CDTF">2016-06-03T12:36:00Z</dcterms:created>
  <dcterms:modified xsi:type="dcterms:W3CDTF">2016-06-09T09:48:00Z</dcterms:modified>
</cp:coreProperties>
</file>