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7F" w:rsidRPr="0066155E" w:rsidRDefault="00627564" w:rsidP="0066155E">
      <w:pPr>
        <w:pStyle w:val="Gvdemetni0"/>
        <w:shd w:val="clear" w:color="auto" w:fill="auto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66155E">
        <w:rPr>
          <w:rFonts w:ascii="Times New Roman" w:hAnsi="Times New Roman" w:cs="Times New Roman"/>
          <w:b/>
          <w:sz w:val="22"/>
          <w:szCs w:val="22"/>
        </w:rPr>
        <w:t>SAKARYA ÜNİVERSİTESİ</w:t>
      </w:r>
    </w:p>
    <w:p w:rsidR="00F6144C" w:rsidRPr="0066155E" w:rsidRDefault="00627564" w:rsidP="0066155E">
      <w:pPr>
        <w:pStyle w:val="Gvdemetni0"/>
        <w:shd w:val="clear" w:color="auto" w:fill="auto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</w:rPr>
        <w:t>ÖNCEKİ ÖĞRENMELERİN TANINMASI SENATO ESASLARI</w:t>
      </w:r>
    </w:p>
    <w:p w:rsidR="00F6144C" w:rsidRPr="0066155E" w:rsidRDefault="00627564" w:rsidP="0066155E">
      <w:pPr>
        <w:pStyle w:val="Gvdemetni0"/>
        <w:shd w:val="clear" w:color="auto" w:fill="auto"/>
        <w:spacing w:after="12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</w:rPr>
        <w:t>Amaç</w:t>
      </w:r>
    </w:p>
    <w:p w:rsidR="00F6144C" w:rsidRPr="0066155E" w:rsidRDefault="00627564" w:rsidP="0066155E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  <w:u w:val="single"/>
        </w:rPr>
        <w:t>MADDE 1-</w:t>
      </w:r>
      <w:r w:rsidR="00490D5D" w:rsidRPr="0066155E">
        <w:rPr>
          <w:rFonts w:ascii="Times New Roman" w:hAnsi="Times New Roman" w:cs="Times New Roman"/>
          <w:sz w:val="22"/>
          <w:szCs w:val="22"/>
        </w:rPr>
        <w:t xml:space="preserve"> </w:t>
      </w:r>
      <w:r w:rsidRPr="0066155E">
        <w:rPr>
          <w:rFonts w:ascii="Times New Roman" w:hAnsi="Times New Roman" w:cs="Times New Roman"/>
          <w:sz w:val="22"/>
          <w:szCs w:val="22"/>
        </w:rPr>
        <w:t xml:space="preserve">Bu </w:t>
      </w:r>
      <w:r w:rsidR="00E77B8A" w:rsidRPr="0066155E">
        <w:rPr>
          <w:rFonts w:ascii="Times New Roman" w:hAnsi="Times New Roman" w:cs="Times New Roman"/>
          <w:sz w:val="22"/>
          <w:szCs w:val="22"/>
        </w:rPr>
        <w:t>senato esasının amacı</w:t>
      </w:r>
      <w:r w:rsidRPr="0066155E">
        <w:rPr>
          <w:rFonts w:ascii="Times New Roman" w:hAnsi="Times New Roman" w:cs="Times New Roman"/>
          <w:sz w:val="22"/>
          <w:szCs w:val="22"/>
        </w:rPr>
        <w:t>, öğrencilerin bir yükseköğretim kurumu dışında edindikleri kazanımların tanınması, kredilendirilmesi ve intibakı için uyulması gereken esasları belirlemektir.</w:t>
      </w:r>
    </w:p>
    <w:p w:rsidR="00F6144C" w:rsidRPr="0066155E" w:rsidRDefault="00627564" w:rsidP="0066155E">
      <w:pPr>
        <w:pStyle w:val="Gvdemetni0"/>
        <w:shd w:val="clear" w:color="auto" w:fill="auto"/>
        <w:spacing w:after="12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</w:rPr>
        <w:t>Kapsam</w:t>
      </w:r>
    </w:p>
    <w:p w:rsidR="00F6144C" w:rsidRPr="0066155E" w:rsidRDefault="00627564" w:rsidP="0066155E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  <w:u w:val="single"/>
        </w:rPr>
        <w:t>MADDE 2-</w:t>
      </w:r>
      <w:r w:rsidR="00490D5D" w:rsidRPr="0066155E">
        <w:rPr>
          <w:rFonts w:ascii="Times New Roman" w:hAnsi="Times New Roman" w:cs="Times New Roman"/>
          <w:sz w:val="22"/>
          <w:szCs w:val="22"/>
        </w:rPr>
        <w:t xml:space="preserve"> </w:t>
      </w:r>
      <w:r w:rsidRPr="0066155E">
        <w:rPr>
          <w:rFonts w:ascii="Times New Roman" w:hAnsi="Times New Roman" w:cs="Times New Roman"/>
          <w:sz w:val="22"/>
          <w:szCs w:val="22"/>
        </w:rPr>
        <w:t xml:space="preserve"> </w:t>
      </w:r>
      <w:r w:rsidR="0066155E" w:rsidRPr="0066155E">
        <w:rPr>
          <w:rFonts w:ascii="Times New Roman" w:hAnsi="Times New Roman" w:cs="Times New Roman"/>
          <w:sz w:val="22"/>
          <w:szCs w:val="22"/>
        </w:rPr>
        <w:t xml:space="preserve">(1) </w:t>
      </w:r>
      <w:r w:rsidRPr="0066155E">
        <w:rPr>
          <w:rFonts w:ascii="Times New Roman" w:hAnsi="Times New Roman" w:cs="Times New Roman"/>
          <w:sz w:val="22"/>
          <w:szCs w:val="22"/>
        </w:rPr>
        <w:t xml:space="preserve">Bu </w:t>
      </w:r>
      <w:r w:rsidR="00E77B8A" w:rsidRPr="0066155E">
        <w:rPr>
          <w:rFonts w:ascii="Times New Roman" w:hAnsi="Times New Roman" w:cs="Times New Roman"/>
          <w:sz w:val="22"/>
          <w:szCs w:val="22"/>
        </w:rPr>
        <w:t>senato esası</w:t>
      </w:r>
      <w:r w:rsidR="00D357FE" w:rsidRPr="0066155E">
        <w:rPr>
          <w:rFonts w:ascii="Times New Roman" w:hAnsi="Times New Roman" w:cs="Times New Roman"/>
          <w:sz w:val="22"/>
          <w:szCs w:val="22"/>
        </w:rPr>
        <w:t xml:space="preserve"> Sakarya Üniversitesi</w:t>
      </w:r>
      <w:r w:rsidRPr="0066155E">
        <w:rPr>
          <w:rFonts w:ascii="Times New Roman" w:hAnsi="Times New Roman" w:cs="Times New Roman"/>
          <w:sz w:val="22"/>
          <w:szCs w:val="22"/>
        </w:rPr>
        <w:t xml:space="preserve"> </w:t>
      </w:r>
      <w:r w:rsidR="00D357FE" w:rsidRPr="0066155E">
        <w:rPr>
          <w:rFonts w:ascii="Times New Roman" w:hAnsi="Times New Roman" w:cs="Times New Roman"/>
          <w:sz w:val="22"/>
          <w:szCs w:val="22"/>
        </w:rPr>
        <w:t xml:space="preserve">Lisans ve Önlisans programlarına </w:t>
      </w:r>
      <w:r w:rsidRPr="0066155E">
        <w:rPr>
          <w:rFonts w:ascii="Times New Roman" w:hAnsi="Times New Roman" w:cs="Times New Roman"/>
          <w:sz w:val="22"/>
          <w:szCs w:val="22"/>
        </w:rPr>
        <w:t>kayıt yaptırmış öğrencilerin;</w:t>
      </w:r>
    </w:p>
    <w:p w:rsidR="00973267" w:rsidRPr="0066155E" w:rsidRDefault="003F44F8" w:rsidP="00550E8B">
      <w:pPr>
        <w:pStyle w:val="Gvdemetni0"/>
        <w:numPr>
          <w:ilvl w:val="0"/>
          <w:numId w:val="2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sz w:val="22"/>
          <w:szCs w:val="22"/>
        </w:rPr>
        <w:t>Üniversite dışında kazanılmış yetkinliklerin</w:t>
      </w:r>
      <w:r w:rsidR="00A42A20" w:rsidRPr="0066155E">
        <w:rPr>
          <w:rFonts w:ascii="Times New Roman" w:hAnsi="Times New Roman" w:cs="Times New Roman"/>
          <w:sz w:val="22"/>
          <w:szCs w:val="22"/>
        </w:rPr>
        <w:t xml:space="preserve"> muafiyet sınavları suretiyle</w:t>
      </w:r>
      <w:r w:rsidR="00FB0DF3" w:rsidRPr="0066155E">
        <w:rPr>
          <w:rFonts w:ascii="Times New Roman" w:hAnsi="Times New Roman" w:cs="Times New Roman"/>
          <w:sz w:val="22"/>
          <w:szCs w:val="22"/>
        </w:rPr>
        <w:t xml:space="preserve"> tanınması ve intibaklarına,</w:t>
      </w:r>
    </w:p>
    <w:p w:rsidR="00973267" w:rsidRPr="0066155E" w:rsidRDefault="0015781D" w:rsidP="00550E8B">
      <w:pPr>
        <w:pStyle w:val="Gvdemetni0"/>
        <w:numPr>
          <w:ilvl w:val="0"/>
          <w:numId w:val="2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İşyeri deneyimlerinin </w:t>
      </w:r>
      <w:r w:rsidR="00973267" w:rsidRPr="0066155E">
        <w:rPr>
          <w:rFonts w:ascii="Times New Roman" w:hAnsi="Times New Roman" w:cs="Times New Roman"/>
          <w:sz w:val="22"/>
          <w:szCs w:val="22"/>
        </w:rPr>
        <w:t>muafiyet sınavları suretiyle tanınması ve intibaklarına ilişkin esasları kapsar.</w:t>
      </w:r>
    </w:p>
    <w:p w:rsidR="00F6144C" w:rsidRPr="0066155E" w:rsidRDefault="00627564" w:rsidP="0066155E">
      <w:pPr>
        <w:pStyle w:val="Gvdemetni0"/>
        <w:shd w:val="clear" w:color="auto" w:fill="auto"/>
        <w:spacing w:after="12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</w:rPr>
        <w:t>Dayanak</w:t>
      </w:r>
    </w:p>
    <w:p w:rsidR="00F6144C" w:rsidRPr="0066155E" w:rsidRDefault="00627564" w:rsidP="0066155E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  <w:u w:val="single"/>
        </w:rPr>
        <w:t>MADDE 3-</w:t>
      </w:r>
      <w:r w:rsidR="00490D5D" w:rsidRPr="0066155E">
        <w:rPr>
          <w:rFonts w:ascii="Times New Roman" w:hAnsi="Times New Roman" w:cs="Times New Roman"/>
          <w:sz w:val="22"/>
          <w:szCs w:val="22"/>
        </w:rPr>
        <w:t xml:space="preserve"> </w:t>
      </w:r>
      <w:r w:rsidRPr="008C1DA2">
        <w:rPr>
          <w:rFonts w:ascii="Times New Roman" w:hAnsi="Times New Roman" w:cs="Times New Roman"/>
          <w:sz w:val="22"/>
          <w:szCs w:val="22"/>
        </w:rPr>
        <w:t xml:space="preserve">Bu </w:t>
      </w:r>
      <w:r w:rsidR="00E77B8A" w:rsidRPr="008C1DA2">
        <w:rPr>
          <w:rFonts w:ascii="Times New Roman" w:hAnsi="Times New Roman" w:cs="Times New Roman"/>
          <w:sz w:val="22"/>
          <w:szCs w:val="22"/>
        </w:rPr>
        <w:t>senato esası</w:t>
      </w:r>
      <w:r w:rsidRPr="008C1DA2">
        <w:rPr>
          <w:rFonts w:ascii="Times New Roman" w:hAnsi="Times New Roman" w:cs="Times New Roman"/>
          <w:sz w:val="22"/>
          <w:szCs w:val="22"/>
        </w:rPr>
        <w:t xml:space="preserve">, 2547 Sayılı Yükseköğretim Kanunu’nun 44 üncü maddesinin b fıkrası </w:t>
      </w:r>
      <w:r w:rsidR="001A01DD" w:rsidRPr="008C1DA2">
        <w:rPr>
          <w:rFonts w:ascii="Times New Roman" w:hAnsi="Times New Roman" w:cs="Times New Roman"/>
          <w:sz w:val="22"/>
          <w:szCs w:val="22"/>
        </w:rPr>
        <w:t>ve Sakarya Üniversitesi Lisans v</w:t>
      </w:r>
      <w:r w:rsidRPr="008C1DA2">
        <w:rPr>
          <w:rFonts w:ascii="Times New Roman" w:hAnsi="Times New Roman" w:cs="Times New Roman"/>
          <w:sz w:val="22"/>
          <w:szCs w:val="22"/>
        </w:rPr>
        <w:t xml:space="preserve">e Önlisans Eğitim-Öğretim ve Sınav </w:t>
      </w:r>
      <w:r w:rsidR="008C1DA2">
        <w:rPr>
          <w:rFonts w:ascii="Times New Roman" w:hAnsi="Times New Roman" w:cs="Times New Roman"/>
          <w:sz w:val="22"/>
          <w:szCs w:val="22"/>
        </w:rPr>
        <w:t xml:space="preserve">Yönetmeliğinin 11 nci maddesine </w:t>
      </w:r>
      <w:r w:rsidRPr="008C1DA2">
        <w:rPr>
          <w:rFonts w:ascii="Times New Roman" w:hAnsi="Times New Roman" w:cs="Times New Roman"/>
          <w:sz w:val="22"/>
          <w:szCs w:val="22"/>
        </w:rPr>
        <w:t>dayanılarak hazırlanmıştır.</w:t>
      </w:r>
    </w:p>
    <w:p w:rsidR="00F6144C" w:rsidRPr="0066155E" w:rsidRDefault="00627564" w:rsidP="0066155E">
      <w:pPr>
        <w:pStyle w:val="Gvdemetni0"/>
        <w:shd w:val="clear" w:color="auto" w:fill="auto"/>
        <w:spacing w:after="12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</w:rPr>
        <w:t>Genel Hükümler</w:t>
      </w:r>
    </w:p>
    <w:p w:rsidR="00490D5D" w:rsidRPr="0066155E" w:rsidRDefault="00627564" w:rsidP="0066155E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  <w:u w:val="single"/>
        </w:rPr>
        <w:t>MADDE 4-</w:t>
      </w:r>
      <w:r w:rsidRPr="0066155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808D7" w:rsidRDefault="0042732B" w:rsidP="0042732B">
      <w:pPr>
        <w:pStyle w:val="Gvdemetni0"/>
        <w:numPr>
          <w:ilvl w:val="0"/>
          <w:numId w:val="17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732B">
        <w:rPr>
          <w:rFonts w:ascii="Times New Roman" w:hAnsi="Times New Roman" w:cs="Times New Roman"/>
          <w:sz w:val="22"/>
          <w:szCs w:val="22"/>
        </w:rPr>
        <w:t>Bu yönergenin Madde 2 - (1) a ve b ‘de bahsi geçen tanıma yaklaşımları ile en fazla toplam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2732B">
        <w:rPr>
          <w:rFonts w:ascii="Times New Roman" w:hAnsi="Times New Roman" w:cs="Times New Roman"/>
          <w:b/>
          <w:sz w:val="22"/>
          <w:szCs w:val="22"/>
        </w:rPr>
        <w:t>15 AKTS</w:t>
      </w:r>
      <w:r w:rsidRPr="0042732B">
        <w:rPr>
          <w:rFonts w:ascii="Times New Roman" w:hAnsi="Times New Roman" w:cs="Times New Roman"/>
          <w:sz w:val="22"/>
          <w:szCs w:val="22"/>
        </w:rPr>
        <w:t xml:space="preserve"> kredilik ders tanınabilir.</w:t>
      </w:r>
      <w:r w:rsidR="00C808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703B" w:rsidRPr="0098703B" w:rsidRDefault="0098703B" w:rsidP="0098703B">
      <w:pPr>
        <w:pStyle w:val="Gvdemetni0"/>
        <w:numPr>
          <w:ilvl w:val="0"/>
          <w:numId w:val="17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2EF8">
        <w:rPr>
          <w:rFonts w:ascii="Times New Roman" w:hAnsi="Times New Roman" w:cs="Times New Roman"/>
          <w:sz w:val="22"/>
          <w:szCs w:val="22"/>
        </w:rPr>
        <w:t xml:space="preserve">Bir öğrenci bir sınav döneminde en fazla </w:t>
      </w:r>
      <w:r w:rsidRPr="00C161FF">
        <w:rPr>
          <w:rFonts w:ascii="Times New Roman" w:hAnsi="Times New Roman" w:cs="Times New Roman"/>
          <w:b/>
          <w:sz w:val="22"/>
          <w:szCs w:val="22"/>
        </w:rPr>
        <w:t>15 AKTS</w:t>
      </w:r>
      <w:r w:rsidRPr="00212EF8">
        <w:rPr>
          <w:rFonts w:ascii="Times New Roman" w:hAnsi="Times New Roman" w:cs="Times New Roman"/>
          <w:sz w:val="22"/>
          <w:szCs w:val="22"/>
        </w:rPr>
        <w:t xml:space="preserve"> krediyi aşmayacak kadar ders için sınava başvurabilir.</w:t>
      </w:r>
    </w:p>
    <w:p w:rsidR="00A00B59" w:rsidRDefault="00A00B59" w:rsidP="00A00B59">
      <w:pPr>
        <w:pStyle w:val="Gvdemetni0"/>
        <w:numPr>
          <w:ilvl w:val="0"/>
          <w:numId w:val="17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E306B">
        <w:rPr>
          <w:rFonts w:ascii="Times New Roman" w:hAnsi="Times New Roman" w:cs="Times New Roman"/>
          <w:b/>
          <w:sz w:val="22"/>
          <w:szCs w:val="22"/>
        </w:rPr>
        <w:t>Bitirme çalışması, tasarım, laboratuvar, atölye ve yönlendirilmiş çalışma</w:t>
      </w:r>
      <w:r w:rsidRPr="0066155E">
        <w:rPr>
          <w:rFonts w:ascii="Times New Roman" w:hAnsi="Times New Roman" w:cs="Times New Roman"/>
          <w:sz w:val="22"/>
          <w:szCs w:val="22"/>
        </w:rPr>
        <w:t xml:space="preserve"> gibi uygulama</w:t>
      </w:r>
      <w:r>
        <w:rPr>
          <w:rFonts w:ascii="Times New Roman" w:hAnsi="Times New Roman" w:cs="Times New Roman"/>
          <w:sz w:val="22"/>
          <w:szCs w:val="22"/>
        </w:rPr>
        <w:t>lı</w:t>
      </w:r>
      <w:r w:rsidRPr="0066155E">
        <w:rPr>
          <w:rFonts w:ascii="Times New Roman" w:hAnsi="Times New Roman" w:cs="Times New Roman"/>
          <w:sz w:val="22"/>
          <w:szCs w:val="22"/>
        </w:rPr>
        <w:t xml:space="preserve"> dersler</w:t>
      </w:r>
      <w:r w:rsidR="00EE6AE6">
        <w:rPr>
          <w:rFonts w:ascii="Times New Roman" w:hAnsi="Times New Roman" w:cs="Times New Roman"/>
          <w:sz w:val="22"/>
          <w:szCs w:val="22"/>
        </w:rPr>
        <w:t xml:space="preserve"> için Önceki</w:t>
      </w:r>
      <w:r>
        <w:rPr>
          <w:rFonts w:ascii="Times New Roman" w:hAnsi="Times New Roman" w:cs="Times New Roman"/>
          <w:sz w:val="22"/>
          <w:szCs w:val="22"/>
        </w:rPr>
        <w:t xml:space="preserve"> Öğrenm</w:t>
      </w:r>
      <w:r w:rsidR="00EE6AE6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lerin Tanınması </w:t>
      </w:r>
      <w:r w:rsidRPr="0066155E">
        <w:rPr>
          <w:rFonts w:ascii="Times New Roman" w:hAnsi="Times New Roman" w:cs="Times New Roman"/>
          <w:sz w:val="22"/>
          <w:szCs w:val="22"/>
        </w:rPr>
        <w:t>başvurusu kabul edilmez.</w:t>
      </w:r>
    </w:p>
    <w:p w:rsidR="00C161FF" w:rsidRDefault="003262E2" w:rsidP="00C161FF">
      <w:pPr>
        <w:pStyle w:val="Gvdemetni0"/>
        <w:numPr>
          <w:ilvl w:val="0"/>
          <w:numId w:val="17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Eğitim süresi</w:t>
      </w:r>
      <w:r w:rsidR="00C161FF" w:rsidRPr="00212EF8">
        <w:rPr>
          <w:rFonts w:ascii="Times New Roman" w:hAnsi="Times New Roman" w:cs="Times New Roman"/>
          <w:sz w:val="22"/>
          <w:szCs w:val="22"/>
        </w:rPr>
        <w:t xml:space="preserve"> boyunca en fazla </w:t>
      </w:r>
      <w:r w:rsidR="00C161FF" w:rsidRPr="00C6015B">
        <w:rPr>
          <w:rFonts w:ascii="Times New Roman" w:hAnsi="Times New Roman" w:cs="Times New Roman"/>
          <w:b/>
          <w:sz w:val="22"/>
          <w:szCs w:val="22"/>
        </w:rPr>
        <w:t>5 ders</w:t>
      </w:r>
      <w:r w:rsidR="00C161FF" w:rsidRPr="00212EF8">
        <w:rPr>
          <w:rFonts w:ascii="Times New Roman" w:hAnsi="Times New Roman" w:cs="Times New Roman"/>
          <w:sz w:val="22"/>
          <w:szCs w:val="22"/>
        </w:rPr>
        <w:t xml:space="preserve"> için sınavlara başvuru hakkı tanınır. Bu haklar aynı derse tekrarlı olarak veya farklı dersler için kullanılabilir. Sınav sonucuna bakılmaksızın öğrenci başvuru hakkını kullanmış olur.</w:t>
      </w:r>
    </w:p>
    <w:p w:rsidR="00C6015B" w:rsidRDefault="00C6015B" w:rsidP="0098703B">
      <w:pPr>
        <w:pStyle w:val="Gvdemetni0"/>
        <w:numPr>
          <w:ilvl w:val="0"/>
          <w:numId w:val="17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2EF8">
        <w:rPr>
          <w:rFonts w:ascii="Times New Roman" w:hAnsi="Times New Roman" w:cs="Times New Roman"/>
          <w:sz w:val="22"/>
          <w:szCs w:val="22"/>
        </w:rPr>
        <w:t xml:space="preserve">Öğrenci, bir sınav dönemini takip eden </w:t>
      </w:r>
      <w:r>
        <w:rPr>
          <w:rFonts w:ascii="Times New Roman" w:hAnsi="Times New Roman" w:cs="Times New Roman"/>
          <w:sz w:val="22"/>
          <w:szCs w:val="22"/>
        </w:rPr>
        <w:t xml:space="preserve">yılın </w:t>
      </w:r>
      <w:r w:rsidR="00701E6F">
        <w:rPr>
          <w:rFonts w:ascii="Times New Roman" w:hAnsi="Times New Roman" w:cs="Times New Roman"/>
          <w:sz w:val="22"/>
          <w:szCs w:val="22"/>
        </w:rPr>
        <w:t>ders planında var olan</w:t>
      </w:r>
      <w:r w:rsidRPr="00212EF8">
        <w:rPr>
          <w:rFonts w:ascii="Times New Roman" w:hAnsi="Times New Roman" w:cs="Times New Roman"/>
          <w:sz w:val="22"/>
          <w:szCs w:val="22"/>
        </w:rPr>
        <w:t xml:space="preserve"> </w:t>
      </w:r>
      <w:r w:rsidR="00701E6F">
        <w:rPr>
          <w:rFonts w:ascii="Times New Roman" w:hAnsi="Times New Roman" w:cs="Times New Roman"/>
          <w:sz w:val="22"/>
          <w:szCs w:val="22"/>
        </w:rPr>
        <w:t xml:space="preserve">(GÜZ ve BAHAR dönemleri) </w:t>
      </w:r>
      <w:r w:rsidRPr="00212EF8">
        <w:rPr>
          <w:rFonts w:ascii="Times New Roman" w:hAnsi="Times New Roman" w:cs="Times New Roman"/>
          <w:sz w:val="22"/>
          <w:szCs w:val="22"/>
        </w:rPr>
        <w:t>ve geçmiş dönemlerde</w:t>
      </w:r>
      <w:r w:rsidR="00701E6F">
        <w:rPr>
          <w:rFonts w:ascii="Times New Roman" w:hAnsi="Times New Roman" w:cs="Times New Roman"/>
          <w:sz w:val="22"/>
          <w:szCs w:val="22"/>
        </w:rPr>
        <w:t>ki</w:t>
      </w:r>
      <w:r w:rsidRPr="00212EF8">
        <w:rPr>
          <w:rFonts w:ascii="Times New Roman" w:hAnsi="Times New Roman" w:cs="Times New Roman"/>
          <w:sz w:val="22"/>
          <w:szCs w:val="22"/>
        </w:rPr>
        <w:t xml:space="preserve"> dersler için sınava başvurulabilir.</w:t>
      </w:r>
    </w:p>
    <w:p w:rsidR="004D273A" w:rsidRPr="004D273A" w:rsidRDefault="004D273A" w:rsidP="004D273A">
      <w:pPr>
        <w:pStyle w:val="Gvdemetni0"/>
        <w:numPr>
          <w:ilvl w:val="0"/>
          <w:numId w:val="17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2EF8">
        <w:rPr>
          <w:rFonts w:ascii="Times New Roman" w:hAnsi="Times New Roman" w:cs="Times New Roman"/>
          <w:sz w:val="22"/>
          <w:szCs w:val="22"/>
        </w:rPr>
        <w:t xml:space="preserve">Başvurulan dönemden </w:t>
      </w:r>
      <w:r>
        <w:rPr>
          <w:rFonts w:ascii="Times New Roman" w:hAnsi="Times New Roman" w:cs="Times New Roman"/>
          <w:sz w:val="22"/>
          <w:szCs w:val="22"/>
        </w:rPr>
        <w:t xml:space="preserve">bir </w:t>
      </w:r>
      <w:r w:rsidRPr="00212EF8">
        <w:rPr>
          <w:rFonts w:ascii="Times New Roman" w:hAnsi="Times New Roman" w:cs="Times New Roman"/>
          <w:sz w:val="22"/>
          <w:szCs w:val="22"/>
        </w:rPr>
        <w:t xml:space="preserve">önceki </w:t>
      </w:r>
      <w:r>
        <w:rPr>
          <w:rFonts w:ascii="Times New Roman" w:hAnsi="Times New Roman" w:cs="Times New Roman"/>
          <w:sz w:val="22"/>
          <w:szCs w:val="22"/>
        </w:rPr>
        <w:t xml:space="preserve">yaz okulunda </w:t>
      </w:r>
      <w:r w:rsidRPr="00212EF8">
        <w:rPr>
          <w:rFonts w:ascii="Times New Roman" w:hAnsi="Times New Roman" w:cs="Times New Roman"/>
          <w:sz w:val="22"/>
          <w:szCs w:val="22"/>
        </w:rPr>
        <w:t xml:space="preserve">alınmış </w:t>
      </w:r>
      <w:r>
        <w:rPr>
          <w:rFonts w:ascii="Times New Roman" w:hAnsi="Times New Roman" w:cs="Times New Roman"/>
          <w:sz w:val="22"/>
          <w:szCs w:val="22"/>
        </w:rPr>
        <w:t>dersler için başvuru yapılamaz.</w:t>
      </w:r>
    </w:p>
    <w:p w:rsidR="00FA29A7" w:rsidRPr="00FA29A7" w:rsidRDefault="00FA29A7" w:rsidP="00FA29A7">
      <w:pPr>
        <w:pStyle w:val="Gvdemetni0"/>
        <w:numPr>
          <w:ilvl w:val="0"/>
          <w:numId w:val="17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sz w:val="22"/>
          <w:szCs w:val="22"/>
        </w:rPr>
        <w:t>Senato uygun görmesi halinde kredi sınırının dışında kalmak üzere Yabancı Dil, Temel Bilgi Teknolojisi Kullanımı vb dersler için topluca ilave yeterlilik sınavları açabilir.</w:t>
      </w:r>
    </w:p>
    <w:p w:rsidR="00A00B59" w:rsidRPr="004027E3" w:rsidRDefault="00A00B59" w:rsidP="00A00B59">
      <w:pPr>
        <w:pStyle w:val="Gvdemetni0"/>
        <w:numPr>
          <w:ilvl w:val="0"/>
          <w:numId w:val="17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36797">
        <w:rPr>
          <w:rFonts w:ascii="Times New Roman" w:hAnsi="Times New Roman" w:cs="Times New Roman"/>
          <w:sz w:val="22"/>
          <w:szCs w:val="22"/>
        </w:rPr>
        <w:t xml:space="preserve">Alınan hizmet içi eğitimlerin her 40 saati 1 AKTS; pratik çalışmalar </w:t>
      </w:r>
      <w:r w:rsidR="00056E74">
        <w:rPr>
          <w:rFonts w:ascii="Times New Roman" w:hAnsi="Times New Roman" w:cs="Times New Roman"/>
          <w:sz w:val="22"/>
          <w:szCs w:val="22"/>
        </w:rPr>
        <w:t>(staj, işyeri eğitimi gibi</w:t>
      </w:r>
      <w:r w:rsidR="00FB79E0">
        <w:rPr>
          <w:rFonts w:ascii="Times New Roman" w:hAnsi="Times New Roman" w:cs="Times New Roman"/>
          <w:sz w:val="22"/>
          <w:szCs w:val="22"/>
        </w:rPr>
        <w:t xml:space="preserve">) </w:t>
      </w:r>
      <w:r w:rsidRPr="00336797">
        <w:rPr>
          <w:rFonts w:ascii="Times New Roman" w:hAnsi="Times New Roman" w:cs="Times New Roman"/>
          <w:sz w:val="22"/>
          <w:szCs w:val="22"/>
        </w:rPr>
        <w:t xml:space="preserve">ile kazanılan yetkinliklerin </w:t>
      </w:r>
      <w:r w:rsidR="00FB79E0">
        <w:rPr>
          <w:rFonts w:ascii="Times New Roman" w:hAnsi="Times New Roman" w:cs="Times New Roman"/>
          <w:sz w:val="22"/>
          <w:szCs w:val="22"/>
        </w:rPr>
        <w:t xml:space="preserve">ise </w:t>
      </w:r>
      <w:r w:rsidRPr="00336797">
        <w:rPr>
          <w:rFonts w:ascii="Times New Roman" w:hAnsi="Times New Roman" w:cs="Times New Roman"/>
          <w:sz w:val="22"/>
          <w:szCs w:val="22"/>
        </w:rPr>
        <w:t>her 50 saati 1 AKTS kredisi olarak sayılır.</w:t>
      </w:r>
    </w:p>
    <w:p w:rsidR="00A00B59" w:rsidRPr="00A00B59" w:rsidRDefault="00A00B59" w:rsidP="00A00B59">
      <w:pPr>
        <w:pStyle w:val="Gvdemetni0"/>
        <w:numPr>
          <w:ilvl w:val="0"/>
          <w:numId w:val="17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sz w:val="22"/>
          <w:szCs w:val="22"/>
        </w:rPr>
        <w:t>Yapılan tanınma sonuçlarına itiraz süresi, ilanı müteakip beş iş günüdür.</w:t>
      </w:r>
    </w:p>
    <w:p w:rsidR="00A00B59" w:rsidRDefault="00A00B59" w:rsidP="00A00B59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00B59" w:rsidRDefault="00A00B59" w:rsidP="00A00B59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0B59">
        <w:rPr>
          <w:rFonts w:ascii="Times New Roman" w:hAnsi="Times New Roman" w:cs="Times New Roman"/>
          <w:b/>
          <w:sz w:val="22"/>
          <w:szCs w:val="22"/>
        </w:rPr>
        <w:t>Başvuru</w:t>
      </w:r>
      <w:r w:rsidR="00F74134">
        <w:rPr>
          <w:rFonts w:ascii="Times New Roman" w:hAnsi="Times New Roman" w:cs="Times New Roman"/>
          <w:b/>
          <w:sz w:val="22"/>
          <w:szCs w:val="22"/>
        </w:rPr>
        <w:t xml:space="preserve"> ve Değerlendirme</w:t>
      </w:r>
    </w:p>
    <w:p w:rsidR="00A00B59" w:rsidRPr="00A00B59" w:rsidRDefault="00A00B59" w:rsidP="00A00B59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MADDE 5</w:t>
      </w:r>
      <w:r w:rsidRPr="0066155E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66155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00B59" w:rsidRPr="0066155E" w:rsidRDefault="00A00B59" w:rsidP="00C161FF">
      <w:pPr>
        <w:pStyle w:val="Gvdemetni0"/>
        <w:numPr>
          <w:ilvl w:val="0"/>
          <w:numId w:val="20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sz w:val="22"/>
          <w:szCs w:val="22"/>
        </w:rPr>
        <w:t>Önceki öğrenmelerin tanınması için yapılacak tüm başvuru ve işlemler, akademik takvimde ilan edilen zaman aralığında ve öğretim yılı başlamadan önce yılda bir kez yapılır.</w:t>
      </w:r>
    </w:p>
    <w:p w:rsidR="004027E3" w:rsidRDefault="004027E3" w:rsidP="00C161FF">
      <w:pPr>
        <w:pStyle w:val="Gvdemetni0"/>
        <w:numPr>
          <w:ilvl w:val="0"/>
          <w:numId w:val="20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732B">
        <w:rPr>
          <w:rFonts w:ascii="Times New Roman" w:hAnsi="Times New Roman" w:cs="Times New Roman"/>
          <w:sz w:val="22"/>
          <w:szCs w:val="22"/>
        </w:rPr>
        <w:t>Başvurular Fakülte ve Yüksekokullarda ilgil</w:t>
      </w:r>
      <w:r w:rsidR="004A352E">
        <w:rPr>
          <w:rFonts w:ascii="Times New Roman" w:hAnsi="Times New Roman" w:cs="Times New Roman"/>
          <w:sz w:val="22"/>
          <w:szCs w:val="22"/>
        </w:rPr>
        <w:t>i Bölüm Başkanlıklarına yapılır, Bölüm tarafından değerlendirilir ve</w:t>
      </w:r>
      <w:r w:rsidR="00216330">
        <w:rPr>
          <w:rFonts w:ascii="Times New Roman" w:hAnsi="Times New Roman" w:cs="Times New Roman"/>
          <w:sz w:val="22"/>
          <w:szCs w:val="22"/>
        </w:rPr>
        <w:t xml:space="preserve"> onaylanan başvurular web üzerinden ilan edilir.</w:t>
      </w:r>
    </w:p>
    <w:p w:rsidR="00611A78" w:rsidRPr="0042732B" w:rsidRDefault="00611A78" w:rsidP="00C161FF">
      <w:pPr>
        <w:pStyle w:val="Gvdemetni0"/>
        <w:numPr>
          <w:ilvl w:val="0"/>
          <w:numId w:val="20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Ö</w:t>
      </w:r>
      <w:r w:rsidRPr="0066155E">
        <w:rPr>
          <w:rFonts w:ascii="Times New Roman" w:hAnsi="Times New Roman" w:cs="Times New Roman"/>
          <w:sz w:val="22"/>
          <w:szCs w:val="22"/>
        </w:rPr>
        <w:t>nceden kazanılmış yeterliliklerin tanınması kapsamında hangi derslerden yeterlilik sınavının açıl</w:t>
      </w:r>
      <w:r>
        <w:rPr>
          <w:rFonts w:ascii="Times New Roman" w:hAnsi="Times New Roman" w:cs="Times New Roman"/>
          <w:sz w:val="22"/>
          <w:szCs w:val="22"/>
        </w:rPr>
        <w:t>acağı</w:t>
      </w:r>
      <w:r w:rsidRPr="0066155E">
        <w:rPr>
          <w:rFonts w:ascii="Times New Roman" w:hAnsi="Times New Roman" w:cs="Times New Roman"/>
          <w:sz w:val="22"/>
          <w:szCs w:val="22"/>
        </w:rPr>
        <w:t xml:space="preserve"> Bölüm Kurulları tarafından karara bağlanır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E6AE6" w:rsidRDefault="00D1660C" w:rsidP="00C161FF">
      <w:pPr>
        <w:pStyle w:val="Gvdemetni0"/>
        <w:numPr>
          <w:ilvl w:val="0"/>
          <w:numId w:val="20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Başvuru ile birlikte verilecek</w:t>
      </w:r>
      <w:r w:rsidR="00C46BA7">
        <w:rPr>
          <w:rFonts w:ascii="Times New Roman" w:hAnsi="Times New Roman" w:cs="Times New Roman"/>
          <w:sz w:val="22"/>
          <w:szCs w:val="22"/>
        </w:rPr>
        <w:t xml:space="preserve"> ekler:</w:t>
      </w:r>
      <w:r w:rsidR="00EE6A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2B80" w:rsidRDefault="00DA4092" w:rsidP="004A1404">
      <w:pPr>
        <w:pStyle w:val="Gvdemetni0"/>
        <w:numPr>
          <w:ilvl w:val="0"/>
          <w:numId w:val="27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0086">
        <w:rPr>
          <w:rFonts w:ascii="Times New Roman" w:hAnsi="Times New Roman" w:cs="Times New Roman"/>
          <w:sz w:val="22"/>
          <w:szCs w:val="22"/>
        </w:rPr>
        <w:t>Dersler</w:t>
      </w:r>
      <w:r>
        <w:rPr>
          <w:rFonts w:ascii="Times New Roman" w:hAnsi="Times New Roman" w:cs="Times New Roman"/>
          <w:sz w:val="22"/>
          <w:szCs w:val="22"/>
        </w:rPr>
        <w:t xml:space="preserve"> için</w:t>
      </w:r>
      <w:r w:rsidR="00EC6CFD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0086">
        <w:rPr>
          <w:rFonts w:ascii="Times New Roman" w:hAnsi="Times New Roman" w:cs="Times New Roman"/>
          <w:b/>
          <w:sz w:val="22"/>
          <w:szCs w:val="22"/>
        </w:rPr>
        <w:t>y</w:t>
      </w:r>
      <w:r w:rsidR="00C161FF" w:rsidRPr="00910086">
        <w:rPr>
          <w:rFonts w:ascii="Times New Roman" w:hAnsi="Times New Roman" w:cs="Times New Roman"/>
          <w:b/>
          <w:sz w:val="22"/>
          <w:szCs w:val="22"/>
        </w:rPr>
        <w:t>etkili eğitim kurumlarından</w:t>
      </w:r>
      <w:r w:rsidR="00C161FF">
        <w:rPr>
          <w:rFonts w:ascii="Times New Roman" w:hAnsi="Times New Roman" w:cs="Times New Roman"/>
          <w:sz w:val="22"/>
          <w:szCs w:val="22"/>
        </w:rPr>
        <w:t xml:space="preserve"> veya </w:t>
      </w:r>
      <w:r w:rsidR="00C161FF" w:rsidRPr="00910086">
        <w:rPr>
          <w:rFonts w:ascii="Times New Roman" w:hAnsi="Times New Roman" w:cs="Times New Roman"/>
          <w:b/>
          <w:sz w:val="22"/>
          <w:szCs w:val="22"/>
        </w:rPr>
        <w:t>kamu kurumlarından</w:t>
      </w:r>
      <w:r w:rsidR="00C161FF">
        <w:rPr>
          <w:rFonts w:ascii="Times New Roman" w:hAnsi="Times New Roman" w:cs="Times New Roman"/>
          <w:sz w:val="22"/>
          <w:szCs w:val="22"/>
        </w:rPr>
        <w:t xml:space="preserve"> alınmış konu ile alakalı </w:t>
      </w:r>
      <w:r>
        <w:rPr>
          <w:rFonts w:ascii="Times New Roman" w:hAnsi="Times New Roman" w:cs="Times New Roman"/>
          <w:b/>
          <w:sz w:val="22"/>
          <w:szCs w:val="22"/>
        </w:rPr>
        <w:t>Eğitim S</w:t>
      </w:r>
      <w:r w:rsidR="00C161FF" w:rsidRPr="00DA4092">
        <w:rPr>
          <w:rFonts w:ascii="Times New Roman" w:hAnsi="Times New Roman" w:cs="Times New Roman"/>
          <w:b/>
          <w:sz w:val="22"/>
          <w:szCs w:val="22"/>
        </w:rPr>
        <w:t>ertifikası</w:t>
      </w:r>
      <w:r w:rsidR="00C161FF">
        <w:rPr>
          <w:rFonts w:ascii="Times New Roman" w:hAnsi="Times New Roman" w:cs="Times New Roman"/>
          <w:sz w:val="22"/>
          <w:szCs w:val="22"/>
        </w:rPr>
        <w:t xml:space="preserve"> veya eğitim alındığına dair </w:t>
      </w:r>
      <w:r>
        <w:rPr>
          <w:rFonts w:ascii="Times New Roman" w:hAnsi="Times New Roman" w:cs="Times New Roman"/>
          <w:b/>
          <w:sz w:val="22"/>
          <w:szCs w:val="22"/>
        </w:rPr>
        <w:t>Referans M</w:t>
      </w:r>
      <w:r w:rsidR="00C161FF" w:rsidRPr="00DA4092">
        <w:rPr>
          <w:rFonts w:ascii="Times New Roman" w:hAnsi="Times New Roman" w:cs="Times New Roman"/>
          <w:b/>
          <w:sz w:val="22"/>
          <w:szCs w:val="22"/>
        </w:rPr>
        <w:t>ektubu</w:t>
      </w:r>
      <w:r w:rsidR="00622B80">
        <w:rPr>
          <w:rFonts w:ascii="Times New Roman" w:hAnsi="Times New Roman" w:cs="Times New Roman"/>
          <w:sz w:val="22"/>
          <w:szCs w:val="22"/>
        </w:rPr>
        <w:t>,</w:t>
      </w:r>
      <w:r w:rsidR="0078764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6AE6" w:rsidRDefault="00622B80" w:rsidP="00FB0DA0">
      <w:pPr>
        <w:pStyle w:val="Gvdemetni0"/>
        <w:shd w:val="clear" w:color="auto" w:fill="aut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32551">
        <w:rPr>
          <w:rFonts w:ascii="Times New Roman" w:hAnsi="Times New Roman" w:cs="Times New Roman"/>
          <w:b/>
          <w:sz w:val="22"/>
          <w:szCs w:val="22"/>
        </w:rPr>
        <w:t>Açıklama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910086" w:rsidRPr="00622B80">
        <w:rPr>
          <w:rFonts w:ascii="Times New Roman" w:hAnsi="Times New Roman" w:cs="Times New Roman"/>
          <w:sz w:val="22"/>
          <w:szCs w:val="22"/>
        </w:rPr>
        <w:t>Kurumsal yapıdaki iş yerlerinde elde edilen pratik kazanımlar ile iş yerlerinde hizmet içi eğitimler su</w:t>
      </w:r>
      <w:r w:rsidRPr="00622B80">
        <w:rPr>
          <w:rFonts w:ascii="Times New Roman" w:hAnsi="Times New Roman" w:cs="Times New Roman"/>
          <w:sz w:val="22"/>
          <w:szCs w:val="22"/>
        </w:rPr>
        <w:t xml:space="preserve">retiyle elde edilmiş </w:t>
      </w:r>
      <w:r>
        <w:rPr>
          <w:rFonts w:ascii="Times New Roman" w:hAnsi="Times New Roman" w:cs="Times New Roman"/>
          <w:sz w:val="22"/>
          <w:szCs w:val="22"/>
        </w:rPr>
        <w:t>kazanımlar için hazırlanmış sertifikalar</w:t>
      </w:r>
      <w:r w:rsidR="00910086" w:rsidRPr="00622B8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veya referans mektupları; </w:t>
      </w:r>
      <w:r w:rsidRPr="00622B80">
        <w:rPr>
          <w:rFonts w:ascii="Times New Roman" w:hAnsi="Times New Roman" w:cs="Times New Roman"/>
          <w:sz w:val="22"/>
          <w:szCs w:val="22"/>
        </w:rPr>
        <w:t>bilgi, beceri ve yetkinlikler, yaptığı faali</w:t>
      </w:r>
      <w:r>
        <w:rPr>
          <w:rFonts w:ascii="Times New Roman" w:hAnsi="Times New Roman" w:cs="Times New Roman"/>
          <w:sz w:val="22"/>
          <w:szCs w:val="22"/>
        </w:rPr>
        <w:t>yetler, çalışma/eğitim sürelerini gösterir nitelikte olmalıdır. Bu belgeler i</w:t>
      </w:r>
      <w:r w:rsidR="00910086" w:rsidRPr="00622B80">
        <w:rPr>
          <w:rFonts w:ascii="Times New Roman" w:hAnsi="Times New Roman" w:cs="Times New Roman"/>
          <w:sz w:val="22"/>
          <w:szCs w:val="22"/>
        </w:rPr>
        <w:t>şyerinin en üst yetkilisi tarafından on</w:t>
      </w:r>
      <w:r>
        <w:rPr>
          <w:rFonts w:ascii="Times New Roman" w:hAnsi="Times New Roman" w:cs="Times New Roman"/>
          <w:sz w:val="22"/>
          <w:szCs w:val="22"/>
        </w:rPr>
        <w:t>aylanmış olmalıdır</w:t>
      </w:r>
      <w:r w:rsidR="00910086" w:rsidRPr="00622B80">
        <w:rPr>
          <w:rFonts w:ascii="Times New Roman" w:hAnsi="Times New Roman" w:cs="Times New Roman"/>
          <w:sz w:val="22"/>
          <w:szCs w:val="22"/>
        </w:rPr>
        <w:t xml:space="preserve">. </w:t>
      </w:r>
      <w:r w:rsidR="00EE6AE6" w:rsidRPr="00622B80">
        <w:rPr>
          <w:rFonts w:ascii="Times New Roman" w:hAnsi="Times New Roman" w:cs="Times New Roman"/>
          <w:sz w:val="22"/>
          <w:szCs w:val="22"/>
        </w:rPr>
        <w:t>Öğretim elemanlarından alınmış referans mektupları kabul edilmez.</w:t>
      </w:r>
      <w:r w:rsidR="00F32551">
        <w:rPr>
          <w:rFonts w:ascii="Times New Roman" w:hAnsi="Times New Roman" w:cs="Times New Roman"/>
          <w:sz w:val="22"/>
          <w:szCs w:val="22"/>
        </w:rPr>
        <w:t>)</w:t>
      </w:r>
    </w:p>
    <w:p w:rsidR="004027E3" w:rsidRDefault="00EE6AE6" w:rsidP="004A1404">
      <w:pPr>
        <w:pStyle w:val="Gvdemetni0"/>
        <w:numPr>
          <w:ilvl w:val="0"/>
          <w:numId w:val="27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6CFD">
        <w:rPr>
          <w:rFonts w:ascii="Times New Roman" w:hAnsi="Times New Roman" w:cs="Times New Roman"/>
          <w:sz w:val="22"/>
          <w:szCs w:val="22"/>
        </w:rPr>
        <w:t xml:space="preserve">Staj, işyeri eğitimi ve işyeri uygulaması </w:t>
      </w:r>
      <w:r>
        <w:rPr>
          <w:rFonts w:ascii="Times New Roman" w:hAnsi="Times New Roman" w:cs="Times New Roman"/>
          <w:sz w:val="22"/>
          <w:szCs w:val="22"/>
        </w:rPr>
        <w:t>için</w:t>
      </w:r>
      <w:r w:rsidR="00530C0E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30C0E">
        <w:rPr>
          <w:rFonts w:ascii="Times New Roman" w:hAnsi="Times New Roman" w:cs="Times New Roman"/>
          <w:sz w:val="22"/>
          <w:szCs w:val="22"/>
        </w:rPr>
        <w:t xml:space="preserve">işyerinde yapılan çalışma sırasında </w:t>
      </w:r>
      <w:r w:rsidR="00EC6CFD">
        <w:rPr>
          <w:rFonts w:ascii="Times New Roman" w:hAnsi="Times New Roman" w:cs="Times New Roman"/>
          <w:sz w:val="22"/>
          <w:szCs w:val="22"/>
        </w:rPr>
        <w:t xml:space="preserve">hazırlanmış </w:t>
      </w:r>
      <w:r w:rsidRPr="00EC6CFD">
        <w:rPr>
          <w:rFonts w:ascii="Times New Roman" w:hAnsi="Times New Roman" w:cs="Times New Roman"/>
          <w:b/>
          <w:sz w:val="22"/>
          <w:szCs w:val="22"/>
        </w:rPr>
        <w:t>portfolyo</w:t>
      </w:r>
      <w:r w:rsidR="009D211F">
        <w:rPr>
          <w:rFonts w:ascii="Times New Roman" w:hAnsi="Times New Roman" w:cs="Times New Roman"/>
          <w:sz w:val="22"/>
          <w:szCs w:val="22"/>
        </w:rPr>
        <w:t xml:space="preserve"> </w:t>
      </w:r>
      <w:r w:rsidR="00530C0E">
        <w:rPr>
          <w:rFonts w:ascii="Times New Roman" w:hAnsi="Times New Roman" w:cs="Times New Roman"/>
          <w:sz w:val="22"/>
          <w:szCs w:val="22"/>
        </w:rPr>
        <w:t>veya bölüm tarafından belirlenmiş formatta hazırlanmış staj defteri</w:t>
      </w:r>
      <w:r>
        <w:rPr>
          <w:rFonts w:ascii="Times New Roman" w:hAnsi="Times New Roman" w:cs="Times New Roman"/>
          <w:sz w:val="22"/>
          <w:szCs w:val="22"/>
        </w:rPr>
        <w:t>.</w:t>
      </w:r>
      <w:r w:rsidR="002442A8">
        <w:rPr>
          <w:rFonts w:ascii="Times New Roman" w:hAnsi="Times New Roman" w:cs="Times New Roman"/>
          <w:sz w:val="22"/>
          <w:szCs w:val="22"/>
        </w:rPr>
        <w:t xml:space="preserve"> </w:t>
      </w:r>
      <w:r w:rsidR="002442A8" w:rsidRPr="00501932">
        <w:rPr>
          <w:rFonts w:ascii="Times New Roman" w:hAnsi="Times New Roman" w:cs="Times New Roman"/>
          <w:sz w:val="22"/>
          <w:szCs w:val="22"/>
        </w:rPr>
        <w:t>Öğrenci, kazanımlar süresince ilgili iş yerinde Sosyal Güvenlik Kurumu kayıtlı olarak bulunduğunu belgelemeli ve başvurusunda kazanmış olduğu bilgi, beceri ve yetkinli</w:t>
      </w:r>
      <w:r w:rsidR="002442A8">
        <w:rPr>
          <w:rFonts w:ascii="Times New Roman" w:hAnsi="Times New Roman" w:cs="Times New Roman"/>
          <w:sz w:val="22"/>
          <w:szCs w:val="22"/>
        </w:rPr>
        <w:t>kleri elde ettiği faaliyetleri,</w:t>
      </w:r>
      <w:r w:rsidR="002442A8" w:rsidRPr="00501932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="002442A8" w:rsidRPr="00501932">
        <w:rPr>
          <w:rFonts w:ascii="Times New Roman" w:hAnsi="Times New Roman" w:cs="Times New Roman"/>
          <w:sz w:val="22"/>
          <w:szCs w:val="22"/>
        </w:rPr>
        <w:t>çalışma-eğitim süreleri işyerinin en üst yetkilisi tarafından onaylanmış belgeler ile sunmalıdır</w:t>
      </w:r>
      <w:r w:rsidR="002442A8">
        <w:rPr>
          <w:rFonts w:ascii="Times New Roman" w:hAnsi="Times New Roman" w:cs="Times New Roman"/>
          <w:sz w:val="22"/>
          <w:szCs w:val="22"/>
        </w:rPr>
        <w:t>.</w:t>
      </w:r>
    </w:p>
    <w:p w:rsidR="008A7621" w:rsidRDefault="008A7621" w:rsidP="008A7621">
      <w:pPr>
        <w:pStyle w:val="Gvdemetni0"/>
        <w:shd w:val="clear" w:color="auto" w:fill="auto"/>
        <w:spacing w:line="360" w:lineRule="auto"/>
        <w:ind w:left="78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8A7621">
        <w:rPr>
          <w:rFonts w:ascii="Times New Roman" w:hAnsi="Times New Roman" w:cs="Times New Roman"/>
          <w:b/>
          <w:sz w:val="22"/>
          <w:szCs w:val="22"/>
        </w:rPr>
        <w:t>Açıklama: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7651">
        <w:rPr>
          <w:rFonts w:ascii="Times New Roman" w:hAnsi="Times New Roman" w:cs="Times New Roman"/>
          <w:sz w:val="22"/>
          <w:szCs w:val="22"/>
        </w:rPr>
        <w:t>“İşyeri Eğitimi” ve “İşyeri Uygulaması” dersleri birlikte değerlendirmeye alındığında 15 AKTS sınırını aşan başvuru kabul edilir. Bu dersler için tanıma başvurusu yapan öğrencinin diğer dersler için başvurusu kabul edilmez.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275A22" w:rsidRDefault="00275A22" w:rsidP="006F6762">
      <w:pPr>
        <w:pStyle w:val="Gvdemetni0"/>
        <w:numPr>
          <w:ilvl w:val="0"/>
          <w:numId w:val="20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sz w:val="22"/>
          <w:szCs w:val="22"/>
        </w:rPr>
        <w:t>Muafiyet sınavları yazılı olarak veya elektronik ortamda yapılabileceği gibi, dersin özelliğine göre başka ölçme yöntemleri kullanılarak da yürütülebilir. Sınavın uygulanma şekline ders koordinatörü karar verir.</w:t>
      </w:r>
    </w:p>
    <w:p w:rsidR="00FB0DA0" w:rsidRDefault="00FB0DA0" w:rsidP="006F6762">
      <w:pPr>
        <w:pStyle w:val="Gvdemetni0"/>
        <w:numPr>
          <w:ilvl w:val="0"/>
          <w:numId w:val="20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="00B41EA7">
        <w:rPr>
          <w:rFonts w:ascii="Times New Roman" w:hAnsi="Times New Roman" w:cs="Times New Roman"/>
          <w:sz w:val="22"/>
          <w:szCs w:val="22"/>
        </w:rPr>
        <w:t>Muafiyet sınavında</w:t>
      </w:r>
      <w:r w:rsidR="003C6D1C" w:rsidRPr="0066155E">
        <w:rPr>
          <w:rFonts w:ascii="Times New Roman" w:hAnsi="Times New Roman" w:cs="Times New Roman"/>
          <w:sz w:val="22"/>
          <w:szCs w:val="22"/>
        </w:rPr>
        <w:t xml:space="preserve"> başarılı olmak için, ön lisans ve lisans </w:t>
      </w:r>
      <w:r w:rsidR="002A1F0E">
        <w:rPr>
          <w:rFonts w:ascii="Times New Roman" w:hAnsi="Times New Roman" w:cs="Times New Roman"/>
          <w:sz w:val="22"/>
          <w:szCs w:val="22"/>
        </w:rPr>
        <w:t>düzeyindeki dersler</w:t>
      </w:r>
      <w:r w:rsidR="003C6D1C" w:rsidRPr="0066155E">
        <w:rPr>
          <w:rFonts w:ascii="Times New Roman" w:hAnsi="Times New Roman" w:cs="Times New Roman"/>
          <w:sz w:val="22"/>
          <w:szCs w:val="22"/>
        </w:rPr>
        <w:t xml:space="preserve">de </w:t>
      </w:r>
      <w:r w:rsidR="003C6D1C" w:rsidRPr="002A01A0">
        <w:rPr>
          <w:rFonts w:ascii="Times New Roman" w:hAnsi="Times New Roman" w:cs="Times New Roman"/>
          <w:b/>
          <w:sz w:val="22"/>
          <w:szCs w:val="22"/>
        </w:rPr>
        <w:t>%65</w:t>
      </w:r>
      <w:r w:rsidR="002A1F0E">
        <w:rPr>
          <w:rFonts w:ascii="Times New Roman" w:hAnsi="Times New Roman" w:cs="Times New Roman"/>
          <w:sz w:val="22"/>
          <w:szCs w:val="22"/>
        </w:rPr>
        <w:t xml:space="preserve"> mutlak başarı</w:t>
      </w:r>
      <w:r w:rsidR="003C6D1C" w:rsidRPr="0066155E">
        <w:rPr>
          <w:rFonts w:ascii="Times New Roman" w:hAnsi="Times New Roman" w:cs="Times New Roman"/>
          <w:sz w:val="22"/>
          <w:szCs w:val="22"/>
        </w:rPr>
        <w:t xml:space="preserve"> şartı aranır. </w:t>
      </w:r>
    </w:p>
    <w:p w:rsidR="00FB0DA0" w:rsidRDefault="00FB0DA0" w:rsidP="00FB0DA0">
      <w:pPr>
        <w:pStyle w:val="Gvdemetni0"/>
        <w:shd w:val="clear" w:color="auto" w:fill="auto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="003C6D1C" w:rsidRPr="0066155E">
        <w:rPr>
          <w:rFonts w:ascii="Times New Roman" w:hAnsi="Times New Roman" w:cs="Times New Roman"/>
          <w:sz w:val="22"/>
          <w:szCs w:val="22"/>
        </w:rPr>
        <w:t xml:space="preserve">Başarılı </w:t>
      </w:r>
      <w:r w:rsidR="00B41EA7">
        <w:rPr>
          <w:rFonts w:ascii="Times New Roman" w:hAnsi="Times New Roman" w:cs="Times New Roman"/>
          <w:sz w:val="22"/>
          <w:szCs w:val="22"/>
        </w:rPr>
        <w:t xml:space="preserve">olunan dersler için </w:t>
      </w:r>
      <w:r w:rsidR="003C6D1C" w:rsidRPr="004027E3">
        <w:rPr>
          <w:rFonts w:ascii="Times New Roman" w:hAnsi="Times New Roman" w:cs="Times New Roman"/>
          <w:b/>
          <w:sz w:val="22"/>
          <w:szCs w:val="22"/>
        </w:rPr>
        <w:t>MU</w:t>
      </w:r>
      <w:r w:rsidR="00B41EA7">
        <w:rPr>
          <w:rFonts w:ascii="Times New Roman" w:hAnsi="Times New Roman" w:cs="Times New Roman"/>
          <w:sz w:val="22"/>
          <w:szCs w:val="22"/>
        </w:rPr>
        <w:t xml:space="preserve"> notu</w:t>
      </w:r>
      <w:r w:rsidR="002A1F0E">
        <w:rPr>
          <w:rFonts w:ascii="Times New Roman" w:hAnsi="Times New Roman" w:cs="Times New Roman"/>
          <w:sz w:val="22"/>
          <w:szCs w:val="22"/>
        </w:rPr>
        <w:t xml:space="preserve"> verilir.</w:t>
      </w:r>
      <w:r w:rsidR="003C6D1C" w:rsidRPr="006615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0DA0" w:rsidRDefault="00FB0DA0" w:rsidP="00FB0DA0">
      <w:pPr>
        <w:pStyle w:val="Gvdemetni0"/>
        <w:shd w:val="clear" w:color="auto" w:fill="auto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="003C6D1C" w:rsidRPr="004027E3">
        <w:rPr>
          <w:rFonts w:ascii="Times New Roman" w:hAnsi="Times New Roman" w:cs="Times New Roman"/>
          <w:b/>
          <w:smallCaps/>
          <w:sz w:val="22"/>
          <w:szCs w:val="22"/>
        </w:rPr>
        <w:t>MU</w:t>
      </w:r>
      <w:r w:rsidR="003C6D1C" w:rsidRPr="0066155E">
        <w:rPr>
          <w:rFonts w:ascii="Times New Roman" w:hAnsi="Times New Roman" w:cs="Times New Roman"/>
          <w:sz w:val="22"/>
          <w:szCs w:val="22"/>
        </w:rPr>
        <w:t xml:space="preserve"> notlu dersler krediden sayılır fakat ağırlıklı ortalamaya katılmaz. </w:t>
      </w:r>
    </w:p>
    <w:p w:rsidR="00FB0DA0" w:rsidRDefault="00FB0DA0" w:rsidP="00FB0DA0">
      <w:pPr>
        <w:pStyle w:val="Gvdemetni0"/>
        <w:shd w:val="clear" w:color="auto" w:fill="auto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="003C6D1C" w:rsidRPr="004027E3">
        <w:rPr>
          <w:rFonts w:ascii="Times New Roman" w:hAnsi="Times New Roman" w:cs="Times New Roman"/>
          <w:sz w:val="22"/>
          <w:szCs w:val="22"/>
        </w:rPr>
        <w:t>Alınan son not geçerli olur.</w:t>
      </w:r>
      <w:r w:rsidR="003C6D1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12EF8" w:rsidRPr="008A7621" w:rsidRDefault="00FB0DA0" w:rsidP="002442A8">
      <w:pPr>
        <w:pStyle w:val="Gvdemetni0"/>
        <w:shd w:val="clear" w:color="auto" w:fill="auto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="003C6D1C">
        <w:rPr>
          <w:rFonts w:ascii="Times New Roman" w:hAnsi="Times New Roman" w:cs="Times New Roman"/>
          <w:sz w:val="22"/>
          <w:szCs w:val="22"/>
        </w:rPr>
        <w:t xml:space="preserve">Sınavlarda başarısız olan öğrenci için transkripte herhangi bir başarı notu işlenmez. </w:t>
      </w:r>
    </w:p>
    <w:p w:rsidR="002A62FF" w:rsidRPr="0066155E" w:rsidRDefault="002A62FF" w:rsidP="0066155E">
      <w:pPr>
        <w:pStyle w:val="Gvdemetn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6144C" w:rsidRPr="0066155E" w:rsidRDefault="00627564" w:rsidP="0066155E">
      <w:pPr>
        <w:pStyle w:val="Balk10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bookmark0"/>
      <w:r w:rsidRPr="0066155E">
        <w:rPr>
          <w:rFonts w:ascii="Times New Roman" w:hAnsi="Times New Roman" w:cs="Times New Roman"/>
          <w:b/>
          <w:sz w:val="22"/>
          <w:szCs w:val="22"/>
        </w:rPr>
        <w:lastRenderedPageBreak/>
        <w:t>Yürürlük</w:t>
      </w:r>
      <w:bookmarkEnd w:id="1"/>
    </w:p>
    <w:p w:rsidR="008B7651" w:rsidRDefault="00627564" w:rsidP="0066155E">
      <w:pPr>
        <w:pStyle w:val="Gvdemetni0"/>
        <w:shd w:val="clear" w:color="auto" w:fill="auto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</w:rPr>
        <w:t xml:space="preserve">MADDE </w:t>
      </w:r>
      <w:r w:rsidR="002442A8">
        <w:rPr>
          <w:rFonts w:ascii="Times New Roman" w:hAnsi="Times New Roman" w:cs="Times New Roman"/>
          <w:b/>
          <w:sz w:val="22"/>
          <w:szCs w:val="22"/>
        </w:rPr>
        <w:t>6</w:t>
      </w:r>
      <w:r w:rsidRPr="0066155E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66155E">
        <w:rPr>
          <w:rFonts w:ascii="Times New Roman" w:hAnsi="Times New Roman" w:cs="Times New Roman"/>
          <w:sz w:val="22"/>
          <w:szCs w:val="22"/>
        </w:rPr>
        <w:t xml:space="preserve"> (1) Bu senato esasları, senato tarafından kabul edildikten sonra yürürlüğe girer. </w:t>
      </w:r>
    </w:p>
    <w:p w:rsidR="00F6144C" w:rsidRPr="0066155E" w:rsidRDefault="00627564" w:rsidP="0066155E">
      <w:pPr>
        <w:pStyle w:val="Gvdemetni0"/>
        <w:shd w:val="clear" w:color="auto" w:fill="auto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</w:rPr>
        <w:t>Yürütme</w:t>
      </w:r>
    </w:p>
    <w:p w:rsidR="00F6144C" w:rsidRPr="0066155E" w:rsidRDefault="00627564" w:rsidP="0066155E">
      <w:pPr>
        <w:pStyle w:val="Gvdemetni0"/>
        <w:shd w:val="clear" w:color="auto" w:fill="auto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155E">
        <w:rPr>
          <w:rFonts w:ascii="Times New Roman" w:hAnsi="Times New Roman" w:cs="Times New Roman"/>
          <w:b/>
          <w:sz w:val="22"/>
          <w:szCs w:val="22"/>
        </w:rPr>
        <w:t xml:space="preserve">MADDE </w:t>
      </w:r>
      <w:r w:rsidR="002442A8">
        <w:rPr>
          <w:rFonts w:ascii="Times New Roman" w:hAnsi="Times New Roman" w:cs="Times New Roman"/>
          <w:b/>
          <w:sz w:val="22"/>
          <w:szCs w:val="22"/>
        </w:rPr>
        <w:t>7</w:t>
      </w:r>
      <w:r w:rsidRPr="0066155E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66155E">
        <w:rPr>
          <w:rFonts w:ascii="Times New Roman" w:hAnsi="Times New Roman" w:cs="Times New Roman"/>
          <w:sz w:val="22"/>
          <w:szCs w:val="22"/>
        </w:rPr>
        <w:t xml:space="preserve"> (</w:t>
      </w:r>
      <w:r w:rsidR="0089197E" w:rsidRPr="0066155E">
        <w:rPr>
          <w:rFonts w:ascii="Times New Roman" w:hAnsi="Times New Roman" w:cs="Times New Roman"/>
          <w:sz w:val="22"/>
          <w:szCs w:val="22"/>
        </w:rPr>
        <w:t>1) Bu senato esasları, Sakarya Ü</w:t>
      </w:r>
      <w:r w:rsidRPr="0066155E">
        <w:rPr>
          <w:rFonts w:ascii="Times New Roman" w:hAnsi="Times New Roman" w:cs="Times New Roman"/>
          <w:sz w:val="22"/>
          <w:szCs w:val="22"/>
        </w:rPr>
        <w:t>niversitesi Rektörü tarafından yürütülür.</w:t>
      </w:r>
    </w:p>
    <w:sectPr w:rsidR="00F6144C" w:rsidRPr="0066155E">
      <w:type w:val="continuous"/>
      <w:pgSz w:w="11909" w:h="16834"/>
      <w:pgMar w:top="1428" w:right="1410" w:bottom="1428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80" w:rsidRDefault="00F21280">
      <w:r>
        <w:separator/>
      </w:r>
    </w:p>
  </w:endnote>
  <w:endnote w:type="continuationSeparator" w:id="0">
    <w:p w:rsidR="00F21280" w:rsidRDefault="00F2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80" w:rsidRDefault="00F21280"/>
  </w:footnote>
  <w:footnote w:type="continuationSeparator" w:id="0">
    <w:p w:rsidR="00F21280" w:rsidRDefault="00F212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B230E"/>
    <w:multiLevelType w:val="hybridMultilevel"/>
    <w:tmpl w:val="06BA78A0"/>
    <w:lvl w:ilvl="0" w:tplc="960CD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77084"/>
    <w:multiLevelType w:val="hybridMultilevel"/>
    <w:tmpl w:val="1840B88E"/>
    <w:lvl w:ilvl="0" w:tplc="9A4866FA">
      <w:start w:val="1"/>
      <w:numFmt w:val="decimal"/>
      <w:lvlText w:val="(%1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4B5591"/>
    <w:multiLevelType w:val="hybridMultilevel"/>
    <w:tmpl w:val="AD32E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3A4B"/>
    <w:multiLevelType w:val="multilevel"/>
    <w:tmpl w:val="2C9A7F6A"/>
    <w:lvl w:ilvl="0">
      <w:start w:val="2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E2D40"/>
    <w:multiLevelType w:val="hybridMultilevel"/>
    <w:tmpl w:val="17905230"/>
    <w:lvl w:ilvl="0" w:tplc="C4CC4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508A0"/>
    <w:multiLevelType w:val="hybridMultilevel"/>
    <w:tmpl w:val="1840B88E"/>
    <w:lvl w:ilvl="0" w:tplc="9A4866FA">
      <w:start w:val="1"/>
      <w:numFmt w:val="decimal"/>
      <w:lvlText w:val="(%1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F93408"/>
    <w:multiLevelType w:val="multilevel"/>
    <w:tmpl w:val="707CB588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B95CE0"/>
    <w:multiLevelType w:val="multilevel"/>
    <w:tmpl w:val="749AA2A4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117261"/>
    <w:multiLevelType w:val="hybridMultilevel"/>
    <w:tmpl w:val="1840B88E"/>
    <w:lvl w:ilvl="0" w:tplc="9A4866FA">
      <w:start w:val="1"/>
      <w:numFmt w:val="decimal"/>
      <w:lvlText w:val="(%1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384DE5"/>
    <w:multiLevelType w:val="hybridMultilevel"/>
    <w:tmpl w:val="3516D762"/>
    <w:lvl w:ilvl="0" w:tplc="673032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DB3EBE"/>
    <w:multiLevelType w:val="multilevel"/>
    <w:tmpl w:val="F282FD0A"/>
    <w:lvl w:ilvl="0">
      <w:start w:val="1"/>
      <w:numFmt w:val="decimal"/>
      <w:lvlText w:val="(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3F396A"/>
    <w:multiLevelType w:val="multilevel"/>
    <w:tmpl w:val="A6EAE8D4"/>
    <w:lvl w:ilvl="0">
      <w:start w:val="2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6692F"/>
    <w:multiLevelType w:val="hybridMultilevel"/>
    <w:tmpl w:val="EE04A47C"/>
    <w:lvl w:ilvl="0" w:tplc="0AB2CB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5383410"/>
    <w:multiLevelType w:val="multilevel"/>
    <w:tmpl w:val="34866A04"/>
    <w:lvl w:ilvl="0">
      <w:start w:val="2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B2572"/>
    <w:multiLevelType w:val="hybridMultilevel"/>
    <w:tmpl w:val="EE04A47C"/>
    <w:lvl w:ilvl="0" w:tplc="0AB2CB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C74437A"/>
    <w:multiLevelType w:val="multilevel"/>
    <w:tmpl w:val="C2AA9D68"/>
    <w:lvl w:ilvl="0">
      <w:start w:val="2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EA741C"/>
    <w:multiLevelType w:val="hybridMultilevel"/>
    <w:tmpl w:val="1840B88E"/>
    <w:lvl w:ilvl="0" w:tplc="9A4866FA">
      <w:start w:val="1"/>
      <w:numFmt w:val="decimal"/>
      <w:lvlText w:val="(%1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6851B8"/>
    <w:multiLevelType w:val="hybridMultilevel"/>
    <w:tmpl w:val="7EB4487A"/>
    <w:lvl w:ilvl="0" w:tplc="090EBE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E03F2"/>
    <w:multiLevelType w:val="hybridMultilevel"/>
    <w:tmpl w:val="BEF8BC7C"/>
    <w:lvl w:ilvl="0" w:tplc="866A387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97090D"/>
    <w:multiLevelType w:val="multilevel"/>
    <w:tmpl w:val="707CB588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BB22BC"/>
    <w:multiLevelType w:val="multilevel"/>
    <w:tmpl w:val="5996522E"/>
    <w:lvl w:ilvl="0">
      <w:start w:val="2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A45801"/>
    <w:multiLevelType w:val="multilevel"/>
    <w:tmpl w:val="6660C6E0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952E31"/>
    <w:multiLevelType w:val="multilevel"/>
    <w:tmpl w:val="E09EC62C"/>
    <w:lvl w:ilvl="0">
      <w:start w:val="2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lowerLetter"/>
      <w:lvlText w:val="%2)"/>
      <w:lvlJc w:val="left"/>
      <w:rPr>
        <w:rFonts w:ascii="Times New Roman" w:eastAsia="Arial Unicode MS" w:hAnsi="Times New Roman" w:cs="Times New Roma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3B7C93"/>
    <w:multiLevelType w:val="hybridMultilevel"/>
    <w:tmpl w:val="1840B88E"/>
    <w:lvl w:ilvl="0" w:tplc="9A4866FA">
      <w:start w:val="1"/>
      <w:numFmt w:val="decimal"/>
      <w:lvlText w:val="(%1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312796"/>
    <w:multiLevelType w:val="multilevel"/>
    <w:tmpl w:val="AD401096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F8077F"/>
    <w:multiLevelType w:val="multilevel"/>
    <w:tmpl w:val="00B0BB66"/>
    <w:lvl w:ilvl="0">
      <w:start w:val="2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(%2)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01CFA"/>
    <w:multiLevelType w:val="multilevel"/>
    <w:tmpl w:val="228495A4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11"/>
  </w:num>
  <w:num w:numId="5">
    <w:abstractNumId w:val="20"/>
  </w:num>
  <w:num w:numId="6">
    <w:abstractNumId w:val="2"/>
  </w:num>
  <w:num w:numId="7">
    <w:abstractNumId w:val="19"/>
  </w:num>
  <w:num w:numId="8">
    <w:abstractNumId w:val="26"/>
  </w:num>
  <w:num w:numId="9">
    <w:abstractNumId w:val="18"/>
  </w:num>
  <w:num w:numId="10">
    <w:abstractNumId w:val="15"/>
  </w:num>
  <w:num w:numId="11">
    <w:abstractNumId w:val="3"/>
  </w:num>
  <w:num w:numId="12">
    <w:abstractNumId w:val="13"/>
  </w:num>
  <w:num w:numId="13">
    <w:abstractNumId w:val="25"/>
  </w:num>
  <w:num w:numId="14">
    <w:abstractNumId w:val="9"/>
  </w:num>
  <w:num w:numId="15">
    <w:abstractNumId w:val="10"/>
  </w:num>
  <w:num w:numId="16">
    <w:abstractNumId w:val="22"/>
  </w:num>
  <w:num w:numId="17">
    <w:abstractNumId w:val="5"/>
  </w:num>
  <w:num w:numId="18">
    <w:abstractNumId w:val="7"/>
  </w:num>
  <w:num w:numId="19">
    <w:abstractNumId w:val="1"/>
  </w:num>
  <w:num w:numId="20">
    <w:abstractNumId w:val="23"/>
  </w:num>
  <w:num w:numId="21">
    <w:abstractNumId w:val="4"/>
  </w:num>
  <w:num w:numId="22">
    <w:abstractNumId w:val="0"/>
  </w:num>
  <w:num w:numId="23">
    <w:abstractNumId w:val="12"/>
  </w:num>
  <w:num w:numId="24">
    <w:abstractNumId w:val="8"/>
  </w:num>
  <w:num w:numId="25">
    <w:abstractNumId w:val="17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4C"/>
    <w:rsid w:val="000302B1"/>
    <w:rsid w:val="00056E74"/>
    <w:rsid w:val="0006457F"/>
    <w:rsid w:val="00145448"/>
    <w:rsid w:val="0015781D"/>
    <w:rsid w:val="001A01DD"/>
    <w:rsid w:val="001D258A"/>
    <w:rsid w:val="001F6D81"/>
    <w:rsid w:val="00212EF8"/>
    <w:rsid w:val="00216330"/>
    <w:rsid w:val="0024385E"/>
    <w:rsid w:val="002442A8"/>
    <w:rsid w:val="00246B7B"/>
    <w:rsid w:val="00257171"/>
    <w:rsid w:val="00275A22"/>
    <w:rsid w:val="002A01A0"/>
    <w:rsid w:val="002A1F0E"/>
    <w:rsid w:val="002A4425"/>
    <w:rsid w:val="002A4B2D"/>
    <w:rsid w:val="002A62FF"/>
    <w:rsid w:val="002B0BE8"/>
    <w:rsid w:val="002E04E8"/>
    <w:rsid w:val="003262E2"/>
    <w:rsid w:val="00336797"/>
    <w:rsid w:val="003A3A65"/>
    <w:rsid w:val="003A5C18"/>
    <w:rsid w:val="003B116A"/>
    <w:rsid w:val="003C571B"/>
    <w:rsid w:val="003C6D1C"/>
    <w:rsid w:val="003E632A"/>
    <w:rsid w:val="003E77BC"/>
    <w:rsid w:val="003E7F43"/>
    <w:rsid w:val="003F3D33"/>
    <w:rsid w:val="003F44F8"/>
    <w:rsid w:val="004027E3"/>
    <w:rsid w:val="00407304"/>
    <w:rsid w:val="00416C70"/>
    <w:rsid w:val="0042732B"/>
    <w:rsid w:val="004608DA"/>
    <w:rsid w:val="004639AA"/>
    <w:rsid w:val="00490D5D"/>
    <w:rsid w:val="004A1404"/>
    <w:rsid w:val="004A1B08"/>
    <w:rsid w:val="004A352E"/>
    <w:rsid w:val="004A4EA4"/>
    <w:rsid w:val="004D273A"/>
    <w:rsid w:val="004E665E"/>
    <w:rsid w:val="00523CED"/>
    <w:rsid w:val="00530518"/>
    <w:rsid w:val="00530C0E"/>
    <w:rsid w:val="00550E8B"/>
    <w:rsid w:val="005A0E70"/>
    <w:rsid w:val="005C39EE"/>
    <w:rsid w:val="005D7233"/>
    <w:rsid w:val="00611A78"/>
    <w:rsid w:val="00622B80"/>
    <w:rsid w:val="00627564"/>
    <w:rsid w:val="0064719F"/>
    <w:rsid w:val="0066155E"/>
    <w:rsid w:val="006A5053"/>
    <w:rsid w:val="006E306B"/>
    <w:rsid w:val="006F4D2B"/>
    <w:rsid w:val="006F6762"/>
    <w:rsid w:val="00701E6F"/>
    <w:rsid w:val="007325FB"/>
    <w:rsid w:val="007349F9"/>
    <w:rsid w:val="00787643"/>
    <w:rsid w:val="007B79BB"/>
    <w:rsid w:val="007C1A0E"/>
    <w:rsid w:val="007E493B"/>
    <w:rsid w:val="008812AC"/>
    <w:rsid w:val="0089197E"/>
    <w:rsid w:val="008979AA"/>
    <w:rsid w:val="008A55B9"/>
    <w:rsid w:val="008A7621"/>
    <w:rsid w:val="008B7651"/>
    <w:rsid w:val="008C1DA2"/>
    <w:rsid w:val="008F2518"/>
    <w:rsid w:val="008F3036"/>
    <w:rsid w:val="008F63FD"/>
    <w:rsid w:val="00901E6B"/>
    <w:rsid w:val="00904827"/>
    <w:rsid w:val="0090534B"/>
    <w:rsid w:val="00910086"/>
    <w:rsid w:val="00973267"/>
    <w:rsid w:val="0098703B"/>
    <w:rsid w:val="009D1B59"/>
    <w:rsid w:val="009D211F"/>
    <w:rsid w:val="00A00B59"/>
    <w:rsid w:val="00A0457A"/>
    <w:rsid w:val="00A272BE"/>
    <w:rsid w:val="00A363C0"/>
    <w:rsid w:val="00A42A20"/>
    <w:rsid w:val="00A715FA"/>
    <w:rsid w:val="00AC7E19"/>
    <w:rsid w:val="00AE1C9F"/>
    <w:rsid w:val="00AE43F7"/>
    <w:rsid w:val="00B01158"/>
    <w:rsid w:val="00B161ED"/>
    <w:rsid w:val="00B363CB"/>
    <w:rsid w:val="00B41EA7"/>
    <w:rsid w:val="00BD1AD7"/>
    <w:rsid w:val="00BD299E"/>
    <w:rsid w:val="00C053B7"/>
    <w:rsid w:val="00C161FF"/>
    <w:rsid w:val="00C2378C"/>
    <w:rsid w:val="00C271D0"/>
    <w:rsid w:val="00C33B8E"/>
    <w:rsid w:val="00C46BA7"/>
    <w:rsid w:val="00C51D0C"/>
    <w:rsid w:val="00C6015B"/>
    <w:rsid w:val="00C808D7"/>
    <w:rsid w:val="00CD4E68"/>
    <w:rsid w:val="00CF7687"/>
    <w:rsid w:val="00D12778"/>
    <w:rsid w:val="00D1660C"/>
    <w:rsid w:val="00D32A3B"/>
    <w:rsid w:val="00D357FE"/>
    <w:rsid w:val="00D421C5"/>
    <w:rsid w:val="00D606ED"/>
    <w:rsid w:val="00D70871"/>
    <w:rsid w:val="00DA4092"/>
    <w:rsid w:val="00DB23BE"/>
    <w:rsid w:val="00E25989"/>
    <w:rsid w:val="00E53DC5"/>
    <w:rsid w:val="00E702B0"/>
    <w:rsid w:val="00E77B8A"/>
    <w:rsid w:val="00EC6CFD"/>
    <w:rsid w:val="00EE6AE6"/>
    <w:rsid w:val="00F21280"/>
    <w:rsid w:val="00F32551"/>
    <w:rsid w:val="00F32AFF"/>
    <w:rsid w:val="00F4540C"/>
    <w:rsid w:val="00F6144C"/>
    <w:rsid w:val="00F74134"/>
    <w:rsid w:val="00FA29A7"/>
    <w:rsid w:val="00FB0DA0"/>
    <w:rsid w:val="00FB0DF3"/>
    <w:rsid w:val="00FB79E0"/>
    <w:rsid w:val="00F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3123B-57E2-4B60-AC59-C7B27FE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KkBykHarf">
    <w:name w:val="Gövde metni + Küçük Büyük Harf"/>
    <w:basedOn w:val="Gvdemetni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54" w:lineRule="exact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outlineLvl w:val="0"/>
    </w:pPr>
    <w:rPr>
      <w:rFonts w:ascii="Arial Unicode MS" w:eastAsia="Arial Unicode MS" w:hAnsi="Arial Unicode MS" w:cs="Arial Unicode MS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11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16A"/>
    <w:rPr>
      <w:rFonts w:ascii="Segoe U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21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2018-12-05T09:15:00Z</cp:lastPrinted>
  <dcterms:created xsi:type="dcterms:W3CDTF">2019-03-05T11:41:00Z</dcterms:created>
  <dcterms:modified xsi:type="dcterms:W3CDTF">2019-03-05T11:41:00Z</dcterms:modified>
</cp:coreProperties>
</file>